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</w:t>
      </w:r>
      <w:r w:rsidR="000B4352">
        <w:rPr>
          <w:rFonts w:ascii="Century Gothic" w:hAnsi="Century Gothic" w:cs="Arial"/>
          <w:b/>
          <w:bCs/>
          <w:sz w:val="28"/>
          <w:szCs w:val="28"/>
        </w:rPr>
        <w:t>5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10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10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 xml:space="preserve">Aquisição de </w:t>
      </w:r>
      <w:r w:rsidR="000B4352">
        <w:rPr>
          <w:rFonts w:ascii="Century Gothic" w:hAnsi="Century Gothic" w:cs="Arial"/>
          <w:bCs/>
          <w:sz w:val="28"/>
          <w:szCs w:val="28"/>
        </w:rPr>
        <w:t>250.000 (duzentos e cinquenta mil)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 xml:space="preserve"> Litros de Óleo Diesel Comum, para o Município de Pirajuí, conforme especificações constantes do </w:t>
      </w:r>
      <w:r w:rsidR="000B4352" w:rsidRPr="000B4352">
        <w:rPr>
          <w:rFonts w:ascii="Century Gothic" w:hAnsi="Century Gothic" w:cs="Arial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0B4352">
        <w:rPr>
          <w:rFonts w:ascii="Century Gothic" w:hAnsi="Century Gothic" w:cs="Arial"/>
          <w:b/>
          <w:bCs/>
          <w:sz w:val="28"/>
          <w:szCs w:val="28"/>
        </w:rPr>
        <w:t>20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010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0B4352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0B4352">
        <w:rPr>
          <w:rFonts w:ascii="Century Gothic" w:hAnsi="Century Gothic" w:cs="Arial"/>
          <w:b/>
          <w:sz w:val="28"/>
          <w:szCs w:val="28"/>
        </w:rPr>
        <w:t>06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0B4352"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A1D03"/>
    <w:rsid w:val="003E36DA"/>
    <w:rsid w:val="0051468B"/>
    <w:rsid w:val="005669A2"/>
    <w:rsid w:val="006C1E67"/>
    <w:rsid w:val="0070436A"/>
    <w:rsid w:val="00785478"/>
    <w:rsid w:val="008C099C"/>
    <w:rsid w:val="009079A0"/>
    <w:rsid w:val="009C5345"/>
    <w:rsid w:val="00A244D0"/>
    <w:rsid w:val="00A31577"/>
    <w:rsid w:val="00A57DDD"/>
    <w:rsid w:val="00B765DB"/>
    <w:rsid w:val="00B955DD"/>
    <w:rsid w:val="00C22BAC"/>
    <w:rsid w:val="00CC161C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2017-02-16T18:21:00Z</dcterms:created>
  <dcterms:modified xsi:type="dcterms:W3CDTF">2017-03-06T19:18:00Z</dcterms:modified>
</cp:coreProperties>
</file>