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 w:rsidR="00D356D4">
        <w:rPr>
          <w:rFonts w:ascii="Book Antiqua" w:hAnsi="Book Antiqua" w:cs="Consolas"/>
          <w:b/>
          <w:sz w:val="48"/>
          <w:szCs w:val="48"/>
        </w:rPr>
        <w:t>6</w:t>
      </w:r>
      <w:r w:rsidR="00BB4D14">
        <w:rPr>
          <w:rFonts w:ascii="Book Antiqua" w:hAnsi="Book Antiqua" w:cs="Consolas"/>
          <w:b/>
          <w:sz w:val="48"/>
          <w:szCs w:val="48"/>
        </w:rPr>
        <w:t>7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BB4D14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BB4D14" w:rsidRPr="00091C84">
        <w:rPr>
          <w:rFonts w:ascii="Book Antiqua" w:hAnsi="Book Antiqua" w:cs="Consolas"/>
          <w:b/>
          <w:sz w:val="28"/>
          <w:szCs w:val="28"/>
        </w:rPr>
        <w:t>VICTOR HUGO TORQUATO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ED53D8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BB4D14" w:rsidRPr="00091C84">
        <w:rPr>
          <w:rFonts w:ascii="Book Antiqua" w:hAnsi="Book Antiqua" w:cs="Consolas"/>
          <w:b/>
          <w:sz w:val="28"/>
          <w:szCs w:val="28"/>
        </w:rPr>
        <w:t>VICTOR HUGO TORQUATO</w:t>
      </w:r>
      <w:r w:rsidR="00BB4D14" w:rsidRPr="00091C84">
        <w:rPr>
          <w:rFonts w:ascii="Book Antiqua" w:hAnsi="Book Antiqua" w:cs="Consolas"/>
          <w:sz w:val="28"/>
          <w:szCs w:val="28"/>
        </w:rPr>
        <w:t>,</w:t>
      </w:r>
      <w:r w:rsidR="00BB4D14" w:rsidRPr="00091C84">
        <w:rPr>
          <w:rFonts w:ascii="Book Antiqua" w:hAnsi="Book Antiqua" w:cs="Consolas"/>
          <w:b/>
          <w:sz w:val="28"/>
          <w:szCs w:val="28"/>
        </w:rPr>
        <w:t xml:space="preserve"> </w:t>
      </w:r>
      <w:r w:rsidR="00BB4D14" w:rsidRPr="00091C84">
        <w:rPr>
          <w:rFonts w:ascii="Book Antiqua" w:hAnsi="Book Antiqua" w:cs="Consolas"/>
          <w:sz w:val="28"/>
          <w:szCs w:val="28"/>
        </w:rPr>
        <w:t>CNPJ sob nº 08.621.706/0001-82,</w:t>
      </w:r>
      <w:r w:rsidR="00BB4D14" w:rsidRPr="00091C84">
        <w:rPr>
          <w:rFonts w:ascii="Book Antiqua" w:hAnsi="Book Antiqua" w:cs="Consolas"/>
          <w:b/>
          <w:sz w:val="28"/>
          <w:szCs w:val="28"/>
        </w:rPr>
        <w:t xml:space="preserve"> </w:t>
      </w:r>
      <w:r w:rsidR="00BB4D14" w:rsidRPr="00091C84">
        <w:rPr>
          <w:rFonts w:ascii="Book Antiqua" w:hAnsi="Book Antiqua" w:cs="Consolas"/>
          <w:sz w:val="28"/>
          <w:szCs w:val="28"/>
        </w:rPr>
        <w:t xml:space="preserve">com sede na Avenida Heráclito Fontoura Sobral Pinto nº 1855 – Bairro </w:t>
      </w:r>
      <w:r w:rsidR="00BB4D14" w:rsidRPr="007B2F99">
        <w:rPr>
          <w:rFonts w:ascii="Book Antiqua" w:hAnsi="Book Antiqua" w:cs="Consolas"/>
          <w:sz w:val="28"/>
          <w:szCs w:val="28"/>
        </w:rPr>
        <w:t>Condomínio Guaporé – CEP 14.022-000 – Ribeirão Preto – SP</w:t>
      </w:r>
      <w:r w:rsidR="007B2F99" w:rsidRPr="007B2F99">
        <w:rPr>
          <w:rFonts w:ascii="Book Antiqua" w:hAnsi="Book Antiqua" w:cs="Consolas"/>
          <w:sz w:val="28"/>
          <w:szCs w:val="28"/>
        </w:rPr>
        <w:t xml:space="preserve"> – Fone (0XX16) </w:t>
      </w:r>
      <w:r w:rsidR="00270832">
        <w:rPr>
          <w:rFonts w:ascii="Book Antiqua" w:hAnsi="Book Antiqua" w:cs="Consolas"/>
          <w:bCs/>
          <w:sz w:val="28"/>
          <w:szCs w:val="28"/>
        </w:rPr>
        <w:t>99196-9585</w:t>
      </w:r>
      <w:r w:rsidR="007B2F99" w:rsidRPr="007B2F99"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270832">
        <w:rPr>
          <w:rFonts w:ascii="Book Antiqua" w:hAnsi="Book Antiqua" w:cs="Consolas"/>
          <w:bCs/>
          <w:sz w:val="28"/>
          <w:szCs w:val="28"/>
        </w:rPr>
        <w:t>victortorquato@gmail.com</w:t>
      </w:r>
      <w:r w:rsidR="007B2F99" w:rsidRPr="007B2F99">
        <w:rPr>
          <w:rFonts w:ascii="Book Antiqua" w:hAnsi="Book Antiqua" w:cs="Consolas"/>
          <w:sz w:val="28"/>
          <w:szCs w:val="28"/>
        </w:rPr>
        <w:t>, representada pelo</w:t>
      </w:r>
      <w:r w:rsidR="007B2F99" w:rsidRPr="007B2F99">
        <w:rPr>
          <w:rFonts w:ascii="Book Antiqua" w:hAnsi="Book Antiqua" w:cs="Consolas"/>
          <w:b/>
          <w:sz w:val="28"/>
          <w:szCs w:val="28"/>
        </w:rPr>
        <w:t xml:space="preserve"> </w:t>
      </w:r>
      <w:r w:rsidR="007B2F99" w:rsidRPr="007B2F99">
        <w:rPr>
          <w:rFonts w:ascii="Book Antiqua" w:hAnsi="Book Antiqua" w:cs="Consolas"/>
          <w:b/>
          <w:bCs/>
          <w:sz w:val="28"/>
          <w:szCs w:val="28"/>
        </w:rPr>
        <w:t>SENHOR VICTOR HUGO TORQUATO</w:t>
      </w:r>
      <w:r w:rsidR="007B2F99" w:rsidRPr="007B2F99">
        <w:rPr>
          <w:rFonts w:ascii="Book Antiqua" w:hAnsi="Book Antiqua" w:cs="Consolas"/>
          <w:bCs/>
          <w:sz w:val="28"/>
          <w:szCs w:val="28"/>
        </w:rPr>
        <w:t>,</w:t>
      </w:r>
      <w:r w:rsidR="007B2F99" w:rsidRPr="007B2F9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7B2F99" w:rsidRPr="007B2F99">
        <w:rPr>
          <w:rFonts w:ascii="Book Antiqua" w:hAnsi="Book Antiqua" w:cs="Consolas"/>
          <w:sz w:val="28"/>
          <w:szCs w:val="28"/>
        </w:rPr>
        <w:t xml:space="preserve">brasileiro, solteiro, empresário, portador da </w:t>
      </w:r>
      <w:r w:rsidR="007B2F99" w:rsidRPr="007B2F99">
        <w:rPr>
          <w:rFonts w:ascii="Book Antiqua" w:hAnsi="Book Antiqua" w:cs="Consolas"/>
          <w:sz w:val="28"/>
          <w:szCs w:val="28"/>
        </w:rPr>
        <w:lastRenderedPageBreak/>
        <w:t>cédula de identidade RG sob nº 33.627.773-8, emitida pela Secretaria da Segurança Pública do Estado de São Paulo e, devidamente Inscrito no Cadastro das Pessoas Físicas do Ministério da Fazenda sob o nº 221.019.298-64</w:t>
      </w:r>
      <w:r w:rsidRPr="007B2F99">
        <w:rPr>
          <w:rFonts w:ascii="Book Antiqua" w:hAnsi="Book Antiqua"/>
          <w:sz w:val="28"/>
          <w:szCs w:val="28"/>
        </w:rPr>
        <w:t>, na qualidade de</w:t>
      </w:r>
      <w:r w:rsidRPr="00FD3117">
        <w:rPr>
          <w:rFonts w:ascii="Book Antiqua" w:hAnsi="Book Antiqua"/>
          <w:sz w:val="28"/>
          <w:szCs w:val="28"/>
        </w:rPr>
        <w:t xml:space="preserve">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____de _____ </w:t>
      </w:r>
      <w:proofErr w:type="spellStart"/>
      <w:r w:rsidRPr="00741969">
        <w:rPr>
          <w:rFonts w:ascii="Book Antiqua" w:hAnsi="Book Antiqua" w:cs="Consolas"/>
          <w:sz w:val="28"/>
          <w:szCs w:val="28"/>
        </w:rPr>
        <w:t>de</w:t>
      </w:r>
      <w:proofErr w:type="spellEnd"/>
      <w:r w:rsidRPr="00741969">
        <w:rPr>
          <w:rFonts w:ascii="Book Antiqua" w:hAnsi="Book Antiqua" w:cs="Consolas"/>
          <w:sz w:val="28"/>
          <w:szCs w:val="28"/>
        </w:rPr>
        <w:t xml:space="preserve">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7B2F99" w:rsidRDefault="007B2F99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BB4D14" w:rsidRPr="00BB4D14">
        <w:rPr>
          <w:rFonts w:ascii="Book Antiqua" w:hAnsi="Book Antiqua" w:cs="Consolas"/>
          <w:b/>
          <w:sz w:val="28"/>
          <w:szCs w:val="28"/>
        </w:rPr>
        <w:t xml:space="preserve">R$ </w:t>
      </w:r>
      <w:r w:rsidR="00BB4D14" w:rsidRPr="00BB4D14">
        <w:rPr>
          <w:rFonts w:ascii="Book Antiqua" w:hAnsi="Book Antiqua"/>
          <w:b/>
          <w:sz w:val="28"/>
          <w:szCs w:val="28"/>
        </w:rPr>
        <w:t>4.760,00 (QUATRO MIL E SETECENTOS E SESSENTA REAIS)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BB4D14" w:rsidRDefault="00BB4D14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 w:cs="Consolas"/>
          <w:b/>
          <w:sz w:val="28"/>
          <w:szCs w:val="28"/>
        </w:rPr>
        <w:t>VICTOR HUGO TORQUATO</w:t>
      </w:r>
      <w:r w:rsidRPr="00A33AE8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863458" w:rsidRPr="00A33AE8" w:rsidRDefault="007B2F99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7B2F99">
        <w:rPr>
          <w:rFonts w:ascii="Book Antiqua" w:hAnsi="Book Antiqua" w:cs="Consolas"/>
          <w:b/>
          <w:bCs/>
          <w:sz w:val="28"/>
          <w:szCs w:val="28"/>
        </w:rPr>
        <w:t>VICTOR HUGO TORQUATO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4D21C0" w:rsidRDefault="004D21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BB4D14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BB4D14" w:rsidRPr="00091C84">
        <w:rPr>
          <w:rFonts w:ascii="Book Antiqua" w:hAnsi="Book Antiqua" w:cs="Consolas"/>
          <w:b/>
          <w:sz w:val="28"/>
          <w:szCs w:val="28"/>
        </w:rPr>
        <w:t>VICTOR HUGO TORQUATO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BB4D14">
        <w:rPr>
          <w:rFonts w:ascii="Book Antiqua" w:hAnsi="Book Antiqua" w:cs="Consolas"/>
          <w:sz w:val="28"/>
          <w:szCs w:val="28"/>
        </w:rPr>
        <w:t>7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B2F99" w:rsidRPr="007B2F99" w:rsidRDefault="007B2F99" w:rsidP="007B2F99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 xml:space="preserve">Nome: </w:t>
      </w:r>
      <w:r w:rsidRPr="007B2F99">
        <w:rPr>
          <w:rFonts w:ascii="Book Antiqua" w:hAnsi="Book Antiqua" w:cs="Consolas"/>
          <w:bCs/>
          <w:sz w:val="28"/>
          <w:szCs w:val="28"/>
        </w:rPr>
        <w:t>Victor Hugo Torquato</w:t>
      </w:r>
    </w:p>
    <w:p w:rsidR="007B2F99" w:rsidRPr="007B2F99" w:rsidRDefault="007B2F99" w:rsidP="007B2F99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>Cargo: Empresário</w:t>
      </w:r>
    </w:p>
    <w:p w:rsidR="007B2F99" w:rsidRPr="007B2F99" w:rsidRDefault="007B2F99" w:rsidP="007B2F99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>CPF: 221.019.298-64</w:t>
      </w:r>
      <w:r w:rsidRPr="007B2F99">
        <w:rPr>
          <w:rFonts w:ascii="Book Antiqua" w:hAnsi="Book Antiqua" w:cs="Consolas"/>
          <w:sz w:val="28"/>
          <w:szCs w:val="28"/>
        </w:rPr>
        <w:tab/>
      </w:r>
      <w:r w:rsidRPr="007B2F99">
        <w:rPr>
          <w:rFonts w:ascii="Book Antiqua" w:hAnsi="Book Antiqua" w:cs="Consolas"/>
          <w:sz w:val="28"/>
          <w:szCs w:val="28"/>
        </w:rPr>
        <w:tab/>
      </w:r>
      <w:r w:rsidRPr="007B2F99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7B2F99">
        <w:rPr>
          <w:rFonts w:ascii="Book Antiqua" w:hAnsi="Book Antiqua" w:cs="Consolas"/>
          <w:sz w:val="28"/>
          <w:szCs w:val="28"/>
        </w:rPr>
        <w:t>RG: 33.627.773-8 SSP/SP</w:t>
      </w:r>
    </w:p>
    <w:p w:rsidR="007B2F99" w:rsidRPr="007B2F99" w:rsidRDefault="007B2F99" w:rsidP="007B2F99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>Data de Nascimento: 07/02/1982</w:t>
      </w:r>
    </w:p>
    <w:p w:rsidR="007B2F99" w:rsidRPr="007B2F99" w:rsidRDefault="007B2F99" w:rsidP="007B2F99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>Endereço residencial completo: Avenida Heráclito Fontoura Sobral Pinto nº 1855 – Bairro Condomínio Guaporé – CEP 14.022-000 – Ribeirão Preto – SP.</w:t>
      </w:r>
    </w:p>
    <w:p w:rsidR="007B2F99" w:rsidRPr="007B2F99" w:rsidRDefault="007B2F99" w:rsidP="007B2F99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 xml:space="preserve">E-mail institucional: </w:t>
      </w:r>
      <w:r w:rsidR="00CB2CF2">
        <w:rPr>
          <w:rFonts w:ascii="Book Antiqua" w:hAnsi="Book Antiqua" w:cs="Consolas"/>
          <w:bCs/>
          <w:sz w:val="28"/>
          <w:szCs w:val="28"/>
        </w:rPr>
        <w:t>victortorquato@gmail.com</w:t>
      </w:r>
    </w:p>
    <w:p w:rsidR="007B2F99" w:rsidRPr="007B2F99" w:rsidRDefault="007B2F99" w:rsidP="007B2F99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 xml:space="preserve">E-mail pessoal: </w:t>
      </w:r>
      <w:r w:rsidR="00CB2CF2">
        <w:rPr>
          <w:rFonts w:ascii="Book Antiqua" w:hAnsi="Book Antiqua" w:cs="Consolas"/>
          <w:bCs/>
          <w:sz w:val="28"/>
          <w:szCs w:val="28"/>
        </w:rPr>
        <w:t>victortorquato@gmail.com</w:t>
      </w:r>
    </w:p>
    <w:p w:rsidR="00863458" w:rsidRPr="007B2F99" w:rsidRDefault="007B2F99" w:rsidP="007B2F99">
      <w:pPr>
        <w:ind w:left="0" w:right="-1"/>
        <w:rPr>
          <w:rFonts w:ascii="Book Antiqua" w:hAnsi="Book Antiqua" w:cs="Consolas"/>
          <w:sz w:val="28"/>
          <w:szCs w:val="28"/>
        </w:rPr>
      </w:pPr>
      <w:r w:rsidRPr="007B2F99">
        <w:rPr>
          <w:rFonts w:ascii="Book Antiqua" w:hAnsi="Book Antiqua" w:cs="Consolas"/>
          <w:sz w:val="28"/>
          <w:szCs w:val="28"/>
        </w:rPr>
        <w:t xml:space="preserve">Telefone: </w:t>
      </w:r>
      <w:r w:rsidR="00CB2CF2" w:rsidRPr="007B2F99">
        <w:rPr>
          <w:rFonts w:ascii="Book Antiqua" w:hAnsi="Book Antiqua" w:cs="Consolas"/>
          <w:sz w:val="28"/>
          <w:szCs w:val="28"/>
        </w:rPr>
        <w:t xml:space="preserve">(0XX16) </w:t>
      </w:r>
      <w:r w:rsidR="00CB2CF2">
        <w:rPr>
          <w:rFonts w:ascii="Book Antiqua" w:hAnsi="Book Antiqua" w:cs="Consolas"/>
          <w:bCs/>
          <w:sz w:val="28"/>
          <w:szCs w:val="28"/>
        </w:rPr>
        <w:t>99196-9585</w:t>
      </w:r>
    </w:p>
    <w:p w:rsidR="00CB2CF2" w:rsidRPr="00B1584A" w:rsidRDefault="00CB2CF2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bookmarkStart w:id="1" w:name="_GoBack"/>
      <w:bookmarkEnd w:id="1"/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BB4D14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BB4D14" w:rsidRPr="00091C84">
        <w:rPr>
          <w:rFonts w:ascii="Book Antiqua" w:hAnsi="Book Antiqua" w:cs="Consolas"/>
          <w:b/>
          <w:sz w:val="28"/>
          <w:szCs w:val="28"/>
        </w:rPr>
        <w:t>VICTOR HUGO TORQUATO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BB4D14">
        <w:rPr>
          <w:rFonts w:ascii="Book Antiqua" w:hAnsi="Book Antiqua" w:cs="Consolas"/>
          <w:sz w:val="28"/>
          <w:szCs w:val="28"/>
        </w:rPr>
        <w:t>7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E81DA6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E81DA6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19262B" w:rsidRDefault="0019262B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BB4D14" w:rsidRDefault="00BB4D14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A6" w:rsidRDefault="00E81DA6">
      <w:r>
        <w:separator/>
      </w:r>
    </w:p>
  </w:endnote>
  <w:endnote w:type="continuationSeparator" w:id="0">
    <w:p w:rsidR="00E81DA6" w:rsidRDefault="00E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A6" w:rsidRDefault="00E81DA6">
      <w:r>
        <w:separator/>
      </w:r>
    </w:p>
  </w:footnote>
  <w:footnote w:type="continuationSeparator" w:id="0">
    <w:p w:rsidR="00E81DA6" w:rsidRDefault="00E8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E81DA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0600D4"/>
    <w:rsid w:val="000950B3"/>
    <w:rsid w:val="000A33A8"/>
    <w:rsid w:val="000E044C"/>
    <w:rsid w:val="00157B61"/>
    <w:rsid w:val="0019262B"/>
    <w:rsid w:val="00270832"/>
    <w:rsid w:val="00291038"/>
    <w:rsid w:val="002D3D69"/>
    <w:rsid w:val="00355FB3"/>
    <w:rsid w:val="004D21C0"/>
    <w:rsid w:val="005A6657"/>
    <w:rsid w:val="005D220E"/>
    <w:rsid w:val="006026C0"/>
    <w:rsid w:val="006B0367"/>
    <w:rsid w:val="006C6BE1"/>
    <w:rsid w:val="00717A61"/>
    <w:rsid w:val="007B2F99"/>
    <w:rsid w:val="00863458"/>
    <w:rsid w:val="00865082"/>
    <w:rsid w:val="0090019B"/>
    <w:rsid w:val="009C21DB"/>
    <w:rsid w:val="00A04DFE"/>
    <w:rsid w:val="00B70908"/>
    <w:rsid w:val="00BB4D14"/>
    <w:rsid w:val="00C437B8"/>
    <w:rsid w:val="00CB2CF2"/>
    <w:rsid w:val="00D356D4"/>
    <w:rsid w:val="00D609B5"/>
    <w:rsid w:val="00D92661"/>
    <w:rsid w:val="00E77119"/>
    <w:rsid w:val="00E81DA6"/>
    <w:rsid w:val="00E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D7B0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E92B-ADCB-4888-8A0D-6F226939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2817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2019-11-05T22:16:00Z</dcterms:created>
  <dcterms:modified xsi:type="dcterms:W3CDTF">2019-11-06T16:25:00Z</dcterms:modified>
</cp:coreProperties>
</file>