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>
        <w:rPr>
          <w:rFonts w:ascii="Book Antiqua" w:hAnsi="Book Antiqua" w:cs="Consolas"/>
          <w:b/>
          <w:sz w:val="48"/>
          <w:szCs w:val="48"/>
        </w:rPr>
        <w:t>5</w:t>
      </w:r>
      <w:r w:rsidR="00A04DFE">
        <w:rPr>
          <w:rFonts w:ascii="Book Antiqua" w:hAnsi="Book Antiqua" w:cs="Consolas"/>
          <w:b/>
          <w:sz w:val="48"/>
          <w:szCs w:val="48"/>
        </w:rPr>
        <w:t>6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A04DFE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A04DFE" w:rsidRPr="00091C84">
        <w:rPr>
          <w:rFonts w:ascii="Book Antiqua" w:hAnsi="Book Antiqua" w:cs="Consolas"/>
          <w:b/>
          <w:sz w:val="28"/>
          <w:szCs w:val="28"/>
        </w:rPr>
        <w:t>LENISE ARRABACA BARBOSA INFORMÁTICA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A04DFE" w:rsidRPr="00091C84">
        <w:rPr>
          <w:rFonts w:ascii="Book Antiqua" w:hAnsi="Book Antiqua" w:cs="Consolas"/>
          <w:b/>
          <w:sz w:val="28"/>
          <w:szCs w:val="28"/>
        </w:rPr>
        <w:t>LENISE ARRABACA BARBOSA INFORMÁTICA</w:t>
      </w:r>
      <w:r w:rsidR="00A04DFE" w:rsidRPr="00091C84">
        <w:rPr>
          <w:rFonts w:ascii="Book Antiqua" w:hAnsi="Book Antiqua" w:cs="Consolas"/>
          <w:sz w:val="28"/>
          <w:szCs w:val="28"/>
        </w:rPr>
        <w:t>, CNPJ sob nº 33.887.039/0001-21, com sede na Rua Floriano Peixoto nº 380 – Bairro Centro – CEP 86.430-000 – Santo Antônio da Platina – PR</w:t>
      </w:r>
      <w:r w:rsidR="00CC4F45">
        <w:rPr>
          <w:rFonts w:ascii="Book Antiqua" w:hAnsi="Book Antiqua" w:cs="Consolas"/>
          <w:sz w:val="28"/>
          <w:szCs w:val="28"/>
        </w:rPr>
        <w:t xml:space="preserve"> – Fone (0XX43) 3534-0022 – E-mail: licitacao@lettech.com.br</w:t>
      </w:r>
      <w:r w:rsidR="00A04DFE" w:rsidRPr="00091C84">
        <w:rPr>
          <w:rFonts w:ascii="Book Antiqua" w:hAnsi="Book Antiqua" w:cs="Consolas"/>
          <w:sz w:val="28"/>
          <w:szCs w:val="28"/>
        </w:rPr>
        <w:t>,</w:t>
      </w:r>
      <w:r w:rsidR="00A04DFE">
        <w:rPr>
          <w:rFonts w:ascii="Book Antiqua" w:hAnsi="Book Antiqua" w:cs="Consolas"/>
          <w:sz w:val="28"/>
          <w:szCs w:val="28"/>
        </w:rPr>
        <w:t xml:space="preserve"> </w:t>
      </w:r>
      <w:r w:rsidR="00FA26E0" w:rsidRPr="00FB087D">
        <w:rPr>
          <w:rFonts w:ascii="Book Antiqua" w:hAnsi="Book Antiqua" w:cs="Consolas"/>
          <w:sz w:val="28"/>
          <w:szCs w:val="28"/>
        </w:rPr>
        <w:t xml:space="preserve">representada pela </w:t>
      </w:r>
      <w:r w:rsidR="00FA26E0" w:rsidRPr="00FB087D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="00FA26E0" w:rsidRPr="00091C84">
        <w:rPr>
          <w:rFonts w:ascii="Book Antiqua" w:hAnsi="Book Antiqua" w:cs="Consolas"/>
          <w:b/>
          <w:sz w:val="28"/>
          <w:szCs w:val="28"/>
        </w:rPr>
        <w:t xml:space="preserve">LENISE </w:t>
      </w:r>
      <w:r w:rsidR="00FA26E0" w:rsidRPr="00091C84">
        <w:rPr>
          <w:rFonts w:ascii="Book Antiqua" w:hAnsi="Book Antiqua" w:cs="Consolas"/>
          <w:b/>
          <w:sz w:val="28"/>
          <w:szCs w:val="28"/>
        </w:rPr>
        <w:lastRenderedPageBreak/>
        <w:t>ARRABACA BARBOSA</w:t>
      </w:r>
      <w:r w:rsidR="00FA26E0" w:rsidRPr="00FB087D">
        <w:rPr>
          <w:rFonts w:ascii="Book Antiqua" w:hAnsi="Book Antiqua" w:cs="Consolas"/>
          <w:b/>
          <w:bCs/>
          <w:sz w:val="28"/>
          <w:szCs w:val="28"/>
        </w:rPr>
        <w:t>,</w:t>
      </w:r>
      <w:r w:rsidR="00FA26E0" w:rsidRPr="00FB087D">
        <w:rPr>
          <w:rFonts w:ascii="Book Antiqua" w:hAnsi="Book Antiqua" w:cs="Consolas"/>
          <w:sz w:val="28"/>
          <w:szCs w:val="28"/>
        </w:rPr>
        <w:t xml:space="preserve"> brasileira, casada, empresária, portadora da cédula de identidade RG sob o nº </w:t>
      </w:r>
      <w:r w:rsidR="00FA26E0">
        <w:rPr>
          <w:rFonts w:ascii="Book Antiqua" w:hAnsi="Book Antiqua" w:cs="Consolas"/>
          <w:sz w:val="28"/>
          <w:szCs w:val="28"/>
        </w:rPr>
        <w:t>10.606.934</w:t>
      </w:r>
      <w:r w:rsidR="00FA26E0" w:rsidRPr="00FB087D">
        <w:rPr>
          <w:rFonts w:ascii="Book Antiqua" w:hAnsi="Book Antiqua" w:cs="Consolas"/>
          <w:sz w:val="28"/>
          <w:szCs w:val="28"/>
        </w:rPr>
        <w:t>, emitido pela Secretaria da Segurança Pública do E</w:t>
      </w:r>
      <w:r w:rsidR="00FA26E0">
        <w:rPr>
          <w:rFonts w:ascii="Book Antiqua" w:hAnsi="Book Antiqua" w:cs="Consolas"/>
          <w:sz w:val="28"/>
          <w:szCs w:val="28"/>
        </w:rPr>
        <w:t>stado do</w:t>
      </w:r>
      <w:r w:rsidR="00FA26E0" w:rsidRPr="00FB087D">
        <w:rPr>
          <w:rFonts w:ascii="Book Antiqua" w:hAnsi="Book Antiqua" w:cs="Consolas"/>
          <w:sz w:val="28"/>
          <w:szCs w:val="28"/>
        </w:rPr>
        <w:t xml:space="preserve"> </w:t>
      </w:r>
      <w:r w:rsidR="00FA26E0">
        <w:rPr>
          <w:rFonts w:ascii="Book Antiqua" w:hAnsi="Book Antiqua" w:cs="Consolas"/>
          <w:sz w:val="28"/>
          <w:szCs w:val="28"/>
        </w:rPr>
        <w:t>Paraná</w:t>
      </w:r>
      <w:r w:rsidR="00FA26E0" w:rsidRPr="00FB087D">
        <w:rPr>
          <w:rFonts w:ascii="Book Antiqua" w:hAnsi="Book Antiqua" w:cs="Consolas"/>
          <w:sz w:val="28"/>
          <w:szCs w:val="28"/>
        </w:rPr>
        <w:t xml:space="preserve"> e, devidamente Inscrita no Cadastro das Pessoas Físicas do Ministério da Fazenda sob o nº </w:t>
      </w:r>
      <w:r w:rsidR="00FA26E0">
        <w:rPr>
          <w:rFonts w:ascii="Book Antiqua" w:hAnsi="Book Antiqua" w:cs="Consolas"/>
          <w:sz w:val="28"/>
          <w:szCs w:val="28"/>
        </w:rPr>
        <w:t>004.442.919-38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CC4F45">
        <w:rPr>
          <w:rFonts w:ascii="Book Antiqua" w:hAnsi="Book Antiqua" w:cs="Consolas"/>
          <w:sz w:val="28"/>
          <w:szCs w:val="28"/>
        </w:rPr>
        <w:t>10 de 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FA26E0" w:rsidRDefault="00FA26E0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A04DFE" w:rsidRPr="00A04DFE">
        <w:rPr>
          <w:rFonts w:ascii="Book Antiqua" w:hAnsi="Book Antiqua" w:cs="Consolas"/>
          <w:b/>
          <w:sz w:val="28"/>
          <w:szCs w:val="28"/>
        </w:rPr>
        <w:t xml:space="preserve">R$ </w:t>
      </w:r>
      <w:r w:rsidR="00A04DFE" w:rsidRPr="00A04DFE">
        <w:rPr>
          <w:rFonts w:ascii="Book Antiqua" w:hAnsi="Book Antiqua"/>
          <w:b/>
          <w:sz w:val="28"/>
          <w:szCs w:val="28"/>
        </w:rPr>
        <w:t>288,40 (DUZENTOS E OITENTA E OITO REAIS E QUARENTA CENTAVOS)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A04DFE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 w:cs="Consolas"/>
          <w:b/>
          <w:sz w:val="28"/>
          <w:szCs w:val="28"/>
        </w:rPr>
        <w:t>LENISE ARRABACA BARBOSA INFORMÁTICA</w:t>
      </w:r>
      <w:r w:rsidRPr="00A33AE8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863458" w:rsidRPr="00A33AE8" w:rsidRDefault="00FA26E0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091C84">
        <w:rPr>
          <w:rFonts w:ascii="Book Antiqua" w:hAnsi="Book Antiqua" w:cs="Consolas"/>
          <w:b/>
          <w:sz w:val="28"/>
          <w:szCs w:val="28"/>
        </w:rPr>
        <w:t>LENISE ARRABACA BARBOSA</w:t>
      </w:r>
      <w:bookmarkStart w:id="1" w:name="_GoBack"/>
      <w:bookmarkEnd w:id="1"/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A04DFE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A04DFE" w:rsidRPr="00091C84">
        <w:rPr>
          <w:rFonts w:ascii="Book Antiqua" w:hAnsi="Book Antiqua" w:cs="Consolas"/>
          <w:b/>
          <w:sz w:val="28"/>
          <w:szCs w:val="28"/>
        </w:rPr>
        <w:t>LENISE ARRABACA BARBOSA INFORMÁTICA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056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6026C0" w:rsidRDefault="006026C0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proofErr w:type="spellStart"/>
      <w:r w:rsidR="00FA26E0" w:rsidRPr="00FA26E0">
        <w:rPr>
          <w:rFonts w:ascii="Book Antiqua" w:hAnsi="Book Antiqua" w:cs="Consolas"/>
          <w:sz w:val="28"/>
          <w:szCs w:val="28"/>
        </w:rPr>
        <w:t>Lenise</w:t>
      </w:r>
      <w:proofErr w:type="spellEnd"/>
      <w:r w:rsidR="00FA26E0" w:rsidRPr="00FA26E0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FA26E0" w:rsidRPr="00FA26E0">
        <w:rPr>
          <w:rFonts w:ascii="Book Antiqua" w:hAnsi="Book Antiqua" w:cs="Consolas"/>
          <w:sz w:val="28"/>
          <w:szCs w:val="28"/>
        </w:rPr>
        <w:t>Arrabaca</w:t>
      </w:r>
      <w:proofErr w:type="spellEnd"/>
      <w:r w:rsidR="00FA26E0" w:rsidRPr="00FA26E0">
        <w:rPr>
          <w:rFonts w:ascii="Book Antiqua" w:hAnsi="Book Antiqua" w:cs="Consolas"/>
          <w:sz w:val="28"/>
          <w:szCs w:val="28"/>
        </w:rPr>
        <w:t xml:space="preserve"> Barbosa</w:t>
      </w:r>
    </w:p>
    <w:p w:rsidR="00863458" w:rsidRDefault="00FA26E0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Empresária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FA26E0">
        <w:rPr>
          <w:rFonts w:ascii="Book Antiqua" w:hAnsi="Book Antiqua" w:cs="Consolas"/>
          <w:sz w:val="28"/>
          <w:szCs w:val="28"/>
        </w:rPr>
        <w:t>004.442.919-38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FA26E0">
        <w:rPr>
          <w:rFonts w:ascii="Book Antiqua" w:hAnsi="Book Antiqua" w:cs="Consolas"/>
          <w:sz w:val="28"/>
          <w:szCs w:val="28"/>
        </w:rPr>
        <w:t>10.606.934</w:t>
      </w:r>
      <w:r w:rsidR="00FA26E0">
        <w:rPr>
          <w:rFonts w:ascii="Book Antiqua" w:hAnsi="Book Antiqua" w:cs="Consolas"/>
          <w:sz w:val="28"/>
          <w:szCs w:val="28"/>
        </w:rPr>
        <w:t xml:space="preserve"> SSP/PR</w:t>
      </w:r>
    </w:p>
    <w:p w:rsidR="00863458" w:rsidRDefault="00FA26E0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01/05/1953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FA26E0">
        <w:rPr>
          <w:rFonts w:ascii="Book Antiqua" w:hAnsi="Book Antiqua" w:cs="Consolas"/>
          <w:sz w:val="28"/>
          <w:szCs w:val="28"/>
        </w:rPr>
        <w:t xml:space="preserve">Rua Arthur Franco nº 690 – Bairro Vila </w:t>
      </w:r>
      <w:proofErr w:type="spellStart"/>
      <w:r w:rsidR="00FA26E0">
        <w:rPr>
          <w:rFonts w:ascii="Book Antiqua" w:hAnsi="Book Antiqua" w:cs="Consolas"/>
          <w:sz w:val="28"/>
          <w:szCs w:val="28"/>
        </w:rPr>
        <w:t>Hermantina</w:t>
      </w:r>
      <w:proofErr w:type="spellEnd"/>
      <w:r w:rsidR="00FA26E0">
        <w:rPr>
          <w:rFonts w:ascii="Book Antiqua" w:hAnsi="Book Antiqua" w:cs="Consolas"/>
          <w:sz w:val="28"/>
          <w:szCs w:val="28"/>
        </w:rPr>
        <w:t xml:space="preserve"> – CEP 86.430-000 – Santo Antônio da Platina – PR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FA26E0">
        <w:rPr>
          <w:rFonts w:ascii="Book Antiqua" w:hAnsi="Book Antiqua" w:cs="Consolas"/>
          <w:sz w:val="28"/>
          <w:szCs w:val="28"/>
        </w:rPr>
        <w:t>licitacao@lettech.com.br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FA26E0">
        <w:rPr>
          <w:rFonts w:ascii="Book Antiqua" w:hAnsi="Book Antiqua" w:cs="Consolas"/>
          <w:sz w:val="28"/>
          <w:szCs w:val="28"/>
        </w:rPr>
        <w:t>licitacao@lettech.com.br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FA26E0">
        <w:rPr>
          <w:rFonts w:ascii="Book Antiqua" w:hAnsi="Book Antiqua" w:cs="Consolas"/>
          <w:sz w:val="28"/>
          <w:szCs w:val="28"/>
        </w:rPr>
        <w:t>(0XX43) 3534-0022</w:t>
      </w:r>
    </w:p>
    <w:p w:rsidR="00FA26E0" w:rsidRPr="00B1584A" w:rsidRDefault="00FA26E0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A04DFE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A04DFE" w:rsidRPr="00091C84">
        <w:rPr>
          <w:rFonts w:ascii="Book Antiqua" w:hAnsi="Book Antiqua" w:cs="Consolas"/>
          <w:b/>
          <w:sz w:val="28"/>
          <w:szCs w:val="28"/>
        </w:rPr>
        <w:t>LENISE ARRABACA BARBOSA INFORMÁTICA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</w:t>
      </w:r>
      <w:r w:rsidR="00A04DFE">
        <w:rPr>
          <w:rFonts w:ascii="Book Antiqua" w:hAnsi="Book Antiqua" w:cs="Consolas"/>
          <w:sz w:val="28"/>
          <w:szCs w:val="28"/>
        </w:rPr>
        <w:t>6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484BA7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484BA7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A7" w:rsidRDefault="00484BA7">
      <w:r>
        <w:separator/>
      </w:r>
    </w:p>
  </w:endnote>
  <w:endnote w:type="continuationSeparator" w:id="0">
    <w:p w:rsidR="00484BA7" w:rsidRDefault="004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A7" w:rsidRDefault="00484BA7">
      <w:r>
        <w:separator/>
      </w:r>
    </w:p>
  </w:footnote>
  <w:footnote w:type="continuationSeparator" w:id="0">
    <w:p w:rsidR="00484BA7" w:rsidRDefault="0048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484BA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484BA7"/>
    <w:rsid w:val="006026C0"/>
    <w:rsid w:val="00717A61"/>
    <w:rsid w:val="00863458"/>
    <w:rsid w:val="00A04DFE"/>
    <w:rsid w:val="00B70908"/>
    <w:rsid w:val="00CC4F45"/>
    <w:rsid w:val="00F0319C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89E9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B647-3E92-4DA2-B269-C3F2E68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2605</Words>
  <Characters>15477</Characters>
  <Application>Microsoft Office Word</Application>
  <DocSecurity>0</DocSecurity>
  <Lines>515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2019-11-05T22:16:00Z</dcterms:created>
  <dcterms:modified xsi:type="dcterms:W3CDTF">2019-11-06T14:51:00Z</dcterms:modified>
</cp:coreProperties>
</file>