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8" w:rsidRPr="006051C8" w:rsidRDefault="006051C8" w:rsidP="006051C8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6051C8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6051C8" w:rsidRPr="006051C8" w:rsidRDefault="006051C8" w:rsidP="006051C8">
      <w:pPr>
        <w:pStyle w:val="Centered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Centered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Proc. Licitatório n.º 000092/19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PREGÃO PRESENCIAL n.º 43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Sessão: 1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Objeto: A presente licitação tem por objeto, a Contratação de Empresa Especializada para a Prestação de Serviços de Coleta, Transporte, Tratamento e destinação final dos Resíduos Sólidos de Saúde – RSS, para a Diretoria de Divisão de Saúde, localizada na Rua Riachuelo n° 910 – Centro – Pirajuí – SP, conforme especificações constantes do Termo de Referência, que integra este Edital como Anexo I.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Na data de 28 de novembro de 2019, às 13:30, o Pregoeiro e a Equipe de Apoio reuniram-se para a Sessão Pública de julgamento do Pregão em epígrafe.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CREDENCIAMENTO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6051C8" w:rsidRPr="006051C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6051C8" w:rsidRPr="006051C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GUILHERME BENEDETI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LTDA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336.583.048-04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06.003.515/0005-55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36.063.688-3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6051C8" w:rsidRPr="006051C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051C8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6051C8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099.003.051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SERVIÇO DE COLETA E TRANSPORTE DE LIXO HOSPITALAR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7200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6051C8" w:rsidRPr="006051C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6051C8" w:rsidRPr="006051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099.003.051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SERVIÇO DE COLETA E TRANSPORTE DE LIXO HOSPITALAR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7200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051C8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6051C8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051C8" w:rsidRPr="006051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6051C8" w:rsidRPr="006051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6051C8" w:rsidRPr="006051C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051C8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6051C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6051C8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051C8" w:rsidRPr="006051C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099.003.051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SERVIÇO DE COLETA E TRANSPORTE DE LIXO HOSPITALAR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7200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lastRenderedPageBreak/>
        <w:t>HABILITAÇÃO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6051C8" w:rsidRPr="006051C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051C8" w:rsidRPr="006051C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LTDA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GUILHERME BENEDETI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ADJUDICAÇÃO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6051C8" w:rsidRPr="006051C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6051C8" w:rsidRPr="006051C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099.003.051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SERVIÇO DE COLETA E TRANSPORTE DE LIXO HOSPITALAR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7200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 xml:space="preserve">Em seguida, informou que o processo seria encaminhado </w:t>
      </w:r>
      <w:r>
        <w:rPr>
          <w:rFonts w:ascii="Book Antiqua" w:hAnsi="Book Antiqua"/>
          <w:sz w:val="16"/>
          <w:szCs w:val="16"/>
          <w:lang w:val="pt-BR"/>
        </w:rPr>
        <w:t>ao</w:t>
      </w:r>
      <w:r w:rsidRPr="006051C8">
        <w:rPr>
          <w:rFonts w:ascii="Book Antiqua" w:hAnsi="Book Antiqua"/>
          <w:sz w:val="16"/>
          <w:szCs w:val="16"/>
        </w:rPr>
        <w:t xml:space="preserve"> Sr</w:t>
      </w:r>
      <w:r>
        <w:rPr>
          <w:rFonts w:ascii="Book Antiqua" w:hAnsi="Book Antiqua"/>
          <w:sz w:val="16"/>
          <w:szCs w:val="16"/>
          <w:lang w:val="pt-BR"/>
        </w:rPr>
        <w:t>.</w:t>
      </w:r>
      <w:r>
        <w:rPr>
          <w:rFonts w:ascii="Book Antiqua" w:hAnsi="Book Antiqua"/>
          <w:sz w:val="16"/>
          <w:szCs w:val="16"/>
        </w:rPr>
        <w:t xml:space="preserve"> Prefeit</w:t>
      </w:r>
      <w:r>
        <w:rPr>
          <w:rFonts w:ascii="Book Antiqua" w:hAnsi="Book Antiqua"/>
          <w:sz w:val="16"/>
          <w:szCs w:val="16"/>
          <w:lang w:val="pt-BR"/>
        </w:rPr>
        <w:t>o</w:t>
      </w:r>
      <w:r w:rsidRPr="006051C8">
        <w:rPr>
          <w:rFonts w:ascii="Book Antiqua" w:hAnsi="Book Antiqua"/>
          <w:sz w:val="16"/>
          <w:szCs w:val="16"/>
        </w:rPr>
        <w:t xml:space="preserve"> Municipal para homologação. Informou ainda 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6051C8">
        <w:rPr>
          <w:rFonts w:ascii="Book Antiqua" w:hAnsi="Book Antiqua"/>
          <w:sz w:val="16"/>
          <w:szCs w:val="16"/>
        </w:rPr>
        <w:t>Pirajui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ENCERRAMENTO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6051C8">
        <w:rPr>
          <w:rFonts w:ascii="Book Antiqua" w:hAnsi="Book Antiqua"/>
          <w:sz w:val="16"/>
          <w:szCs w:val="16"/>
        </w:rPr>
        <w:t>Sr</w:t>
      </w:r>
      <w:proofErr w:type="spellEnd"/>
      <w:r w:rsidRPr="006051C8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6051C8" w:rsidRPr="006051C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9890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CHEIRO VERDE COMÉRCIO DE MATERIAIS RECICLÁVEIS AMB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CNPJ: 06.003.515/0005-55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RUA TRÊS, 4-180 - DIST INDUSTRIAL III - SP, CEP: 17064-853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6051C8" w:rsidRPr="006051C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099.003.051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SERVIÇO DE COLETA E TRANSPORTE DE LIXO HOSPITALAR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7200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43.200,00</w:t>
            </w:r>
          </w:p>
        </w:tc>
      </w:tr>
      <w:tr w:rsidR="006051C8" w:rsidRPr="006051C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43.200,00</w:t>
            </w: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OCORRÊNCIAS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051C8">
        <w:rPr>
          <w:rFonts w:ascii="Book Antiqua" w:hAnsi="Book Antiqua"/>
          <w:sz w:val="16"/>
          <w:szCs w:val="16"/>
        </w:rPr>
        <w:t>Não houve.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051C8">
        <w:rPr>
          <w:rFonts w:ascii="Book Antiqua" w:hAnsi="Book Antiqua"/>
          <w:b/>
          <w:bCs/>
          <w:sz w:val="16"/>
          <w:szCs w:val="16"/>
        </w:rPr>
        <w:t>ASSINAM</w:t>
      </w: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6051C8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6051C8" w:rsidRPr="006051C8" w:rsidTr="006051C8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6051C8" w:rsidRPr="0061495A" w:rsidRDefault="0061495A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6051C8" w:rsidRPr="0061495A" w:rsidRDefault="0061495A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bookmarkStart w:id="0" w:name="_GoBack"/>
            <w:bookmarkEnd w:id="0"/>
            <w:proofErr w:type="gramEnd"/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051C8" w:rsidRPr="006051C8" w:rsidTr="006051C8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051C8" w:rsidRPr="006051C8" w:rsidRDefault="006051C8" w:rsidP="006051C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6051C8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051C8" w:rsidRPr="006051C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Representante: GUILHERME BENEDETI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CPF.: 336.583.048-04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RG.: 36.063.688-3</w:t>
            </w:r>
          </w:p>
          <w:p w:rsidR="006051C8" w:rsidRPr="006051C8" w:rsidRDefault="006051C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051C8">
              <w:rPr>
                <w:rFonts w:ascii="Book Antiqua" w:hAnsi="Book Antiqua"/>
                <w:sz w:val="16"/>
                <w:szCs w:val="16"/>
              </w:rPr>
              <w:t>Empresa: CHEIRO VERDE COMÉRCIO DE MATERIAIS RECICLÁVEIS AMB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051C8" w:rsidRPr="006051C8" w:rsidRDefault="006051C8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050DDA" w:rsidRPr="006051C8" w:rsidRDefault="00050DDA" w:rsidP="006051C8">
      <w:pPr>
        <w:rPr>
          <w:rFonts w:ascii="Book Antiqua" w:hAnsi="Book Antiqua"/>
          <w:sz w:val="16"/>
          <w:szCs w:val="16"/>
          <w:lang w:val="x-none"/>
        </w:rPr>
      </w:pPr>
    </w:p>
    <w:sectPr w:rsidR="00050DDA" w:rsidRPr="006051C8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CB" w:rsidRDefault="005B17CB" w:rsidP="00BD0343">
      <w:pPr>
        <w:spacing w:after="0" w:line="240" w:lineRule="auto"/>
      </w:pPr>
      <w:r>
        <w:separator/>
      </w:r>
    </w:p>
  </w:endnote>
  <w:endnote w:type="continuationSeparator" w:id="0">
    <w:p w:rsidR="005B17CB" w:rsidRDefault="005B17C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25" w:rsidRPr="002A0BCC" w:rsidRDefault="007F3625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 w:rsidRPr="002A0BCC">
      <w:rPr>
        <w:rFonts w:ascii="Book Antiqua" w:hAnsi="Book Antiqua"/>
        <w:b/>
        <w:sz w:val="16"/>
        <w:szCs w:val="16"/>
      </w:rPr>
      <w:t>Pregão Presencial nº 0</w:t>
    </w:r>
    <w:r w:rsidR="0061495A">
      <w:rPr>
        <w:rFonts w:ascii="Book Antiqua" w:hAnsi="Book Antiqua"/>
        <w:b/>
        <w:sz w:val="16"/>
        <w:szCs w:val="16"/>
      </w:rPr>
      <w:t>43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61495A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</w:t>
        </w:r>
        <w:r w:rsidR="0061495A">
          <w:rPr>
            <w:rFonts w:ascii="Book Antiqua" w:hAnsi="Book Antiqua" w:cs="Consolas"/>
            <w:b/>
            <w:sz w:val="16"/>
            <w:szCs w:val="16"/>
          </w:rPr>
          <w:t>2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CB" w:rsidRDefault="005B17CB" w:rsidP="00BD0343">
      <w:pPr>
        <w:spacing w:after="0" w:line="240" w:lineRule="auto"/>
      </w:pPr>
      <w:r>
        <w:separator/>
      </w:r>
    </w:p>
  </w:footnote>
  <w:footnote w:type="continuationSeparator" w:id="0">
    <w:p w:rsidR="005B17CB" w:rsidRDefault="005B17C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6051C8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051C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0DC5F8B" wp14:editId="214A10D2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7F3625" w:rsidRPr="006051C8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53C4EB2" wp14:editId="55A3E11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A9EC2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17CB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51C8"/>
    <w:rsid w:val="006075CC"/>
    <w:rsid w:val="00612064"/>
    <w:rsid w:val="0061495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60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051C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051C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051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60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051C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051C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05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0909-A256-4928-8A1B-B2ACC2A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3</cp:revision>
  <cp:lastPrinted>2019-11-28T17:11:00Z</cp:lastPrinted>
  <dcterms:created xsi:type="dcterms:W3CDTF">2019-11-28T17:09:00Z</dcterms:created>
  <dcterms:modified xsi:type="dcterms:W3CDTF">2019-11-28T17:11:00Z</dcterms:modified>
</cp:coreProperties>
</file>