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F24B6" w:rsidRDefault="003F24B6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3F24B6" w:rsidRDefault="00D732C5" w:rsidP="001068CD">
      <w:pPr>
        <w:pStyle w:val="SemEspaamen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F24B6">
        <w:rPr>
          <w:rFonts w:ascii="Arial" w:hAnsi="Arial" w:cs="Arial"/>
          <w:b/>
          <w:i/>
          <w:sz w:val="32"/>
          <w:szCs w:val="32"/>
          <w:u w:val="single"/>
        </w:rPr>
        <w:t>MEMORIAL DESCRITIVO</w:t>
      </w:r>
    </w:p>
    <w:p w:rsidR="001068CD" w:rsidRPr="004F4BC9" w:rsidRDefault="001068CD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4F4BC9" w:rsidRDefault="00D732C5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OBRA: </w:t>
      </w:r>
      <w:r w:rsidR="001D6D31">
        <w:rPr>
          <w:rFonts w:ascii="Arial" w:hAnsi="Arial" w:cs="Arial"/>
          <w:b/>
          <w:sz w:val="24"/>
          <w:szCs w:val="24"/>
        </w:rPr>
        <w:t xml:space="preserve">INFRAESTRUTURA </w:t>
      </w:r>
      <w:r w:rsidR="004F3041">
        <w:rPr>
          <w:rFonts w:ascii="Arial" w:hAnsi="Arial" w:cs="Arial"/>
          <w:b/>
          <w:sz w:val="24"/>
          <w:szCs w:val="24"/>
        </w:rPr>
        <w:t xml:space="preserve">URBANA </w:t>
      </w:r>
      <w:r w:rsidR="00B11311">
        <w:rPr>
          <w:rFonts w:ascii="Arial" w:hAnsi="Arial" w:cs="Arial"/>
          <w:b/>
          <w:sz w:val="24"/>
          <w:szCs w:val="24"/>
        </w:rPr>
        <w:t>–</w:t>
      </w:r>
      <w:r w:rsidR="00B30615">
        <w:rPr>
          <w:rFonts w:ascii="Arial" w:hAnsi="Arial" w:cs="Arial"/>
          <w:b/>
          <w:sz w:val="24"/>
          <w:szCs w:val="24"/>
        </w:rPr>
        <w:t xml:space="preserve"> PAVIMENTAÇÃO</w:t>
      </w:r>
      <w:r w:rsidR="00B11311">
        <w:rPr>
          <w:rFonts w:ascii="Arial" w:hAnsi="Arial" w:cs="Arial"/>
          <w:b/>
          <w:sz w:val="24"/>
          <w:szCs w:val="24"/>
        </w:rPr>
        <w:t xml:space="preserve"> E DRENAGENS</w:t>
      </w: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LOCAL: Vias Públicas do Município</w:t>
      </w:r>
      <w:r w:rsidR="00D457F0">
        <w:rPr>
          <w:rFonts w:ascii="Arial" w:hAnsi="Arial" w:cs="Arial"/>
          <w:b/>
          <w:sz w:val="24"/>
          <w:szCs w:val="24"/>
        </w:rPr>
        <w:t xml:space="preserve"> </w:t>
      </w:r>
      <w:r w:rsidR="007839FA">
        <w:rPr>
          <w:rFonts w:ascii="Arial" w:hAnsi="Arial" w:cs="Arial"/>
          <w:b/>
          <w:sz w:val="24"/>
          <w:szCs w:val="24"/>
        </w:rPr>
        <w:t>de</w:t>
      </w:r>
      <w:r w:rsidRPr="00B74F52">
        <w:rPr>
          <w:rFonts w:ascii="Arial" w:hAnsi="Arial" w:cs="Arial"/>
          <w:b/>
          <w:sz w:val="24"/>
          <w:szCs w:val="24"/>
        </w:rPr>
        <w:t xml:space="preserve"> Pirajuí-SP</w:t>
      </w: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Gestor da Obras: Prefeitura Municipal de Pirajuí</w:t>
      </w:r>
    </w:p>
    <w:p w:rsidR="00B74F52" w:rsidRDefault="005B2300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Conv</w:t>
      </w:r>
      <w:r w:rsidR="00D9789A">
        <w:rPr>
          <w:rFonts w:ascii="Arial" w:hAnsi="Arial" w:cs="Arial"/>
          <w:b/>
          <w:sz w:val="24"/>
          <w:szCs w:val="24"/>
        </w:rPr>
        <w:t>ê</w:t>
      </w:r>
      <w:r w:rsidRPr="00B74F52">
        <w:rPr>
          <w:rFonts w:ascii="Arial" w:hAnsi="Arial" w:cs="Arial"/>
          <w:b/>
          <w:sz w:val="24"/>
          <w:szCs w:val="24"/>
        </w:rPr>
        <w:t>nio:</w:t>
      </w:r>
      <w:r w:rsidR="00D37559">
        <w:rPr>
          <w:rFonts w:ascii="Arial" w:hAnsi="Arial" w:cs="Arial"/>
          <w:b/>
          <w:color w:val="000000"/>
          <w:sz w:val="24"/>
          <w:szCs w:val="24"/>
        </w:rPr>
        <w:t>FINISA – CAIXA ECONÔMICA FEDERAL</w:t>
      </w:r>
      <w:r w:rsidR="00BA3AEB">
        <w:rPr>
          <w:rFonts w:ascii="Arial" w:hAnsi="Arial" w:cs="Arial"/>
          <w:b/>
          <w:sz w:val="24"/>
          <w:szCs w:val="24"/>
        </w:rPr>
        <w:t>.</w:t>
      </w:r>
    </w:p>
    <w:p w:rsidR="003F24B6" w:rsidRPr="00B74F52" w:rsidRDefault="003F24B6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5B2300" w:rsidRPr="00B74F52" w:rsidRDefault="005B2300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Default="001068CD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ESPECIFICAÇÕES</w:t>
      </w:r>
      <w:r w:rsidR="000139A1">
        <w:rPr>
          <w:rFonts w:ascii="Arial" w:hAnsi="Arial" w:cs="Arial"/>
          <w:b/>
          <w:sz w:val="24"/>
          <w:szCs w:val="24"/>
        </w:rPr>
        <w:t xml:space="preserve"> TÉCNICAS PARA EXECUÇÃO DE OBRA</w:t>
      </w:r>
    </w:p>
    <w:p w:rsidR="003F24B6" w:rsidRPr="00B74F52" w:rsidRDefault="003F24B6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3F24B6" w:rsidP="001121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DRENAGEM E </w:t>
      </w:r>
      <w:r w:rsidR="004D53D7">
        <w:rPr>
          <w:rFonts w:ascii="Arial" w:hAnsi="Arial" w:cs="Arial"/>
          <w:b/>
          <w:sz w:val="24"/>
          <w:szCs w:val="24"/>
        </w:rPr>
        <w:t>PAVIMENTAÇÃO</w:t>
      </w:r>
      <w:r w:rsidR="00B8364B" w:rsidRPr="00B74F52">
        <w:rPr>
          <w:rFonts w:ascii="Arial" w:hAnsi="Arial" w:cs="Arial"/>
          <w:b/>
          <w:sz w:val="24"/>
          <w:szCs w:val="24"/>
        </w:rPr>
        <w:t xml:space="preserve"> ASFÁLTIC</w:t>
      </w:r>
      <w:r w:rsidR="004D53D7">
        <w:rPr>
          <w:rFonts w:ascii="Arial" w:hAnsi="Arial" w:cs="Arial"/>
          <w:b/>
          <w:sz w:val="24"/>
          <w:szCs w:val="24"/>
        </w:rPr>
        <w:t>A</w:t>
      </w:r>
      <w:r w:rsidR="00112190">
        <w:rPr>
          <w:rFonts w:ascii="Arial" w:hAnsi="Arial" w:cs="Arial"/>
          <w:b/>
          <w:sz w:val="24"/>
          <w:szCs w:val="24"/>
        </w:rPr>
        <w:t>– CBUQ</w:t>
      </w:r>
    </w:p>
    <w:p w:rsidR="00AC4759" w:rsidRDefault="00AC4759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F24B6" w:rsidRPr="00B74F52" w:rsidRDefault="003F24B6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F4BC9" w:rsidRPr="00B74F52" w:rsidRDefault="004F4BC9" w:rsidP="00112190">
      <w:pPr>
        <w:pStyle w:val="Ttulo1Metr"/>
        <w:numPr>
          <w:ilvl w:val="0"/>
          <w:numId w:val="0"/>
        </w:numPr>
        <w:rPr>
          <w:rFonts w:cs="Arial"/>
          <w:sz w:val="24"/>
          <w:szCs w:val="24"/>
        </w:rPr>
      </w:pPr>
      <w:bookmarkStart w:id="0" w:name="_Toc477272011"/>
      <w:bookmarkStart w:id="1" w:name="_Toc481047815"/>
      <w:r w:rsidRPr="00B74F52">
        <w:rPr>
          <w:rFonts w:cs="Arial"/>
          <w:sz w:val="24"/>
          <w:szCs w:val="24"/>
        </w:rPr>
        <w:t>OBJETIVO</w:t>
      </w:r>
      <w:bookmarkEnd w:id="0"/>
      <w:bookmarkEnd w:id="1"/>
    </w:p>
    <w:p w:rsidR="004F4BC9" w:rsidRDefault="004F4BC9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 xml:space="preserve">Estabelecer os critérios que orientam os métodos, procedimentos e equipamentos para serviços de pavimentação, relativos à execução das obras </w:t>
      </w:r>
      <w:r w:rsidR="00E34361" w:rsidRPr="00B74F52">
        <w:rPr>
          <w:rFonts w:ascii="Arial" w:hAnsi="Arial" w:cs="Arial"/>
          <w:sz w:val="24"/>
          <w:szCs w:val="24"/>
        </w:rPr>
        <w:t>de</w:t>
      </w:r>
      <w:r w:rsidR="004D53D7">
        <w:rPr>
          <w:rFonts w:ascii="Arial" w:hAnsi="Arial" w:cs="Arial"/>
          <w:sz w:val="24"/>
          <w:szCs w:val="24"/>
        </w:rPr>
        <w:t>Infraestrutura Urbana</w:t>
      </w:r>
      <w:r w:rsidRPr="00B74F52">
        <w:rPr>
          <w:rFonts w:ascii="Arial" w:hAnsi="Arial" w:cs="Arial"/>
          <w:sz w:val="24"/>
          <w:szCs w:val="24"/>
        </w:rPr>
        <w:t xml:space="preserve"> das Vias Públicas</w:t>
      </w:r>
      <w:r w:rsidR="00E34361" w:rsidRPr="00B74F52">
        <w:rPr>
          <w:rFonts w:ascii="Arial" w:hAnsi="Arial" w:cs="Arial"/>
          <w:sz w:val="24"/>
          <w:szCs w:val="24"/>
        </w:rPr>
        <w:t xml:space="preserve"> do</w:t>
      </w:r>
      <w:r w:rsidR="00AE1026">
        <w:rPr>
          <w:rFonts w:ascii="Arial" w:hAnsi="Arial" w:cs="Arial"/>
          <w:sz w:val="24"/>
          <w:szCs w:val="24"/>
        </w:rPr>
        <w:t xml:space="preserve"> Bairro Jardim </w:t>
      </w:r>
      <w:r w:rsidR="00023631">
        <w:rPr>
          <w:rFonts w:ascii="Arial" w:hAnsi="Arial" w:cs="Arial"/>
          <w:sz w:val="24"/>
          <w:szCs w:val="24"/>
        </w:rPr>
        <w:t>Aclimação e Vila Abel</w:t>
      </w:r>
      <w:r w:rsidR="00AE1026">
        <w:rPr>
          <w:rFonts w:ascii="Arial" w:hAnsi="Arial" w:cs="Arial"/>
          <w:sz w:val="24"/>
          <w:szCs w:val="24"/>
        </w:rPr>
        <w:t xml:space="preserve"> no</w:t>
      </w:r>
      <w:r w:rsidR="00E34361" w:rsidRPr="00B74F52">
        <w:rPr>
          <w:rFonts w:ascii="Arial" w:hAnsi="Arial" w:cs="Arial"/>
          <w:sz w:val="24"/>
          <w:szCs w:val="24"/>
        </w:rPr>
        <w:t xml:space="preserve"> Município de Pirajuí</w:t>
      </w:r>
      <w:r w:rsidRPr="00B74F52">
        <w:rPr>
          <w:rFonts w:ascii="Arial" w:hAnsi="Arial" w:cs="Arial"/>
          <w:sz w:val="24"/>
          <w:szCs w:val="24"/>
        </w:rPr>
        <w:t>.</w:t>
      </w:r>
    </w:p>
    <w:p w:rsidR="003F24B6" w:rsidRPr="00B74F52" w:rsidRDefault="003F24B6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C582F" w:rsidRDefault="00DC582F" w:rsidP="0011219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Default="00D55C74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8364B" w:rsidRPr="00B74F52">
        <w:rPr>
          <w:rFonts w:ascii="Arial" w:hAnsi="Arial" w:cs="Arial"/>
          <w:b/>
          <w:sz w:val="24"/>
          <w:szCs w:val="24"/>
        </w:rPr>
        <w:t>Serviços Iniciais</w:t>
      </w:r>
    </w:p>
    <w:p w:rsidR="00DA4E55" w:rsidRPr="00B74F52" w:rsidRDefault="00DA4E55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Default="00DA4E55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Levantamento Topográfico</w:t>
      </w:r>
    </w:p>
    <w:p w:rsidR="00AC4759" w:rsidRDefault="00B8364B" w:rsidP="00112190">
      <w:pPr>
        <w:pStyle w:val="Ttulo3"/>
        <w:spacing w:before="0" w:line="240" w:lineRule="auto"/>
        <w:ind w:firstLine="360"/>
        <w:jc w:val="both"/>
        <w:rPr>
          <w:rFonts w:ascii="Arial" w:hAnsi="Arial" w:cs="Arial"/>
          <w:color w:val="auto"/>
        </w:rPr>
      </w:pPr>
      <w:r w:rsidRPr="00112190">
        <w:rPr>
          <w:rFonts w:ascii="Arial" w:hAnsi="Arial" w:cs="Arial"/>
          <w:color w:val="auto"/>
        </w:rPr>
        <w:t xml:space="preserve">Consiste </w:t>
      </w:r>
      <w:r w:rsidR="004D53D7" w:rsidRPr="00112190">
        <w:rPr>
          <w:rFonts w:ascii="Arial" w:hAnsi="Arial" w:cs="Arial"/>
          <w:color w:val="auto"/>
        </w:rPr>
        <w:t>na locação e nivelamento em conformação com o leito da via pública das guias e sarjetas de concreto, utilizando serviços de topografia e estaqueamento em metro e metro.</w:t>
      </w:r>
    </w:p>
    <w:p w:rsidR="00021F98" w:rsidRPr="00021F98" w:rsidRDefault="00021F98" w:rsidP="00021F98"/>
    <w:p w:rsidR="00B8364B" w:rsidRDefault="00B8364B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Placa de Obra </w:t>
      </w:r>
    </w:p>
    <w:p w:rsidR="00B8364B" w:rsidRDefault="00B8364B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>Deverá ser instalada uma placa em chapa de aço</w:t>
      </w:r>
      <w:r w:rsidR="00F561E8" w:rsidRPr="00B74F52">
        <w:rPr>
          <w:rFonts w:ascii="Arial" w:hAnsi="Arial" w:cs="Arial"/>
          <w:sz w:val="24"/>
          <w:szCs w:val="24"/>
        </w:rPr>
        <w:t xml:space="preserve"> galvanizada de identificação da obra</w:t>
      </w:r>
      <w:r w:rsidR="00E22914">
        <w:rPr>
          <w:rFonts w:ascii="Arial" w:hAnsi="Arial" w:cs="Arial"/>
          <w:sz w:val="24"/>
          <w:szCs w:val="24"/>
        </w:rPr>
        <w:t xml:space="preserve"> conforme Normas do Governo Federal</w:t>
      </w:r>
      <w:r w:rsidR="001068CD" w:rsidRPr="00B74F52">
        <w:rPr>
          <w:rFonts w:ascii="Arial" w:hAnsi="Arial" w:cs="Arial"/>
          <w:sz w:val="24"/>
          <w:szCs w:val="24"/>
        </w:rPr>
        <w:t>.</w:t>
      </w:r>
    </w:p>
    <w:p w:rsidR="003F24B6" w:rsidRDefault="003F24B6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A4E55" w:rsidRDefault="00DA4E55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A4E55" w:rsidRDefault="00D37559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Drenagem de Águas Pluviais</w:t>
      </w:r>
    </w:p>
    <w:p w:rsidR="00DA6EEB" w:rsidRDefault="00DA6EEB" w:rsidP="00DA6EEB">
      <w:pPr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55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tubos de concreto são peças circulares pré-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moldadas em concreto </w:t>
      </w:r>
      <w:r w:rsidRPr="0055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armado com estruturas de aço. São utilizados dentro do setor de saneamento básico na condução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</w:t>
      </w:r>
      <w:r w:rsidRPr="0055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renagem, esgoto sanitário ou efluentes industriais. Seus sistemas de encaixe (ponta e bolsa ou macho e fêmea) permitem fácil execução e garantem confiável estanqueidade destes pontos. As classes de resistência previstas na NBR 8890/03 para tubos de concreto destinados à condução de águas pluviais</w:t>
      </w:r>
      <w:r w:rsidR="00BE7F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C24F0" w:rsidRDefault="009C24F0" w:rsidP="009C24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7F1E">
        <w:rPr>
          <w:rFonts w:ascii="Arial" w:hAnsi="Arial" w:cs="Arial"/>
          <w:color w:val="000000"/>
          <w:sz w:val="24"/>
          <w:szCs w:val="24"/>
        </w:rPr>
        <w:lastRenderedPageBreak/>
        <w:t xml:space="preserve">Os serviços de drenagem </w:t>
      </w:r>
      <w:r>
        <w:rPr>
          <w:rFonts w:ascii="Arial" w:hAnsi="Arial" w:cs="Arial"/>
          <w:color w:val="000000"/>
          <w:sz w:val="24"/>
          <w:szCs w:val="24"/>
        </w:rPr>
        <w:t xml:space="preserve">de todas as ruas </w:t>
      </w:r>
      <w:r w:rsidRPr="00627F1E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ve</w:t>
      </w:r>
      <w:r w:rsidRPr="00627F1E">
        <w:rPr>
          <w:rFonts w:ascii="Arial" w:hAnsi="Arial" w:cs="Arial"/>
          <w:color w:val="000000"/>
          <w:sz w:val="24"/>
          <w:szCs w:val="24"/>
        </w:rPr>
        <w:t>rão</w:t>
      </w:r>
      <w:r>
        <w:rPr>
          <w:rFonts w:ascii="Arial" w:hAnsi="Arial" w:cs="Arial"/>
          <w:color w:val="000000"/>
          <w:sz w:val="24"/>
          <w:szCs w:val="24"/>
        </w:rPr>
        <w:t xml:space="preserve"> atendera</w:t>
      </w:r>
      <w:r w:rsidRPr="00627F1E">
        <w:rPr>
          <w:rFonts w:ascii="Arial" w:hAnsi="Arial" w:cs="Arial"/>
          <w:color w:val="000000"/>
          <w:sz w:val="24"/>
          <w:szCs w:val="24"/>
        </w:rPr>
        <w:t xml:space="preserve">o previsto </w:t>
      </w:r>
      <w:r>
        <w:rPr>
          <w:rFonts w:ascii="Arial" w:hAnsi="Arial" w:cs="Arial"/>
          <w:color w:val="000000"/>
          <w:sz w:val="24"/>
          <w:szCs w:val="24"/>
        </w:rPr>
        <w:t xml:space="preserve">nas Normas 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 xml:space="preserve">Técnicas Brasileiraspara a </w:t>
      </w:r>
      <w:r w:rsidRPr="00627F1E">
        <w:rPr>
          <w:rFonts w:ascii="Arial" w:hAnsi="Arial" w:cs="Arial"/>
          <w:color w:val="000000"/>
          <w:sz w:val="24"/>
          <w:szCs w:val="24"/>
        </w:rPr>
        <w:t>Execução d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Pr="00627F1E">
        <w:rPr>
          <w:rFonts w:ascii="Arial" w:hAnsi="Arial" w:cs="Arial"/>
          <w:color w:val="000000"/>
          <w:sz w:val="24"/>
          <w:szCs w:val="24"/>
        </w:rPr>
        <w:t xml:space="preserve"> Serviços de Drenagem.</w:t>
      </w:r>
      <w:r>
        <w:rPr>
          <w:rFonts w:ascii="Arial" w:hAnsi="Arial" w:cs="Arial"/>
          <w:color w:val="000000"/>
          <w:sz w:val="24"/>
          <w:szCs w:val="24"/>
        </w:rPr>
        <w:t xml:space="preserve"> Seguindo todos os critérios para instalação das tubulações de concreto</w:t>
      </w:r>
      <w:r w:rsidR="00DA6EEB">
        <w:rPr>
          <w:rFonts w:ascii="Arial" w:hAnsi="Arial" w:cs="Arial"/>
          <w:color w:val="000000"/>
          <w:sz w:val="24"/>
          <w:szCs w:val="24"/>
        </w:rPr>
        <w:t xml:space="preserve"> P</w:t>
      </w:r>
      <w:r w:rsidR="00F743CE">
        <w:rPr>
          <w:rFonts w:ascii="Arial" w:hAnsi="Arial" w:cs="Arial"/>
          <w:color w:val="000000"/>
          <w:sz w:val="24"/>
          <w:szCs w:val="24"/>
        </w:rPr>
        <w:t>A</w:t>
      </w:r>
      <w:r w:rsidR="00DA6EEB">
        <w:rPr>
          <w:rFonts w:ascii="Arial" w:hAnsi="Arial" w:cs="Arial"/>
          <w:color w:val="000000"/>
          <w:sz w:val="24"/>
          <w:szCs w:val="24"/>
        </w:rPr>
        <w:t>-2</w:t>
      </w:r>
      <w:r>
        <w:rPr>
          <w:rFonts w:ascii="Arial" w:hAnsi="Arial" w:cs="Arial"/>
          <w:color w:val="000000"/>
          <w:sz w:val="24"/>
          <w:szCs w:val="24"/>
        </w:rPr>
        <w:t>, como declividade, preparação da base, colocação e fixação dos tubos, vedação e demais itens necessários para garantir a qualidade do serviço.</w:t>
      </w:r>
    </w:p>
    <w:p w:rsidR="00D4707E" w:rsidRDefault="00D4707E" w:rsidP="009C24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reaterro da vala após o assentamento do tudo deverá seguir todos os critérios estabelecido pela Normas Brasileiras, a compactação será em camadas de 20 cm com a utilização de compactador de solo manual do tipo “sapo”.</w:t>
      </w:r>
    </w:p>
    <w:p w:rsidR="009C24F0" w:rsidRDefault="009C24F0" w:rsidP="009C24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 o sistema de Drenagem deve ser integrado com os dispositivos que irão auxiliar e controlar o escoamento das águas pluviais, como Caixas de Passagem, Poços de Visita e Dissipadores de Energia.</w:t>
      </w:r>
    </w:p>
    <w:p w:rsidR="00D37559" w:rsidRDefault="00D37559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A4E55">
        <w:rPr>
          <w:rFonts w:ascii="Arial" w:hAnsi="Arial" w:cs="Arial"/>
          <w:b/>
          <w:sz w:val="24"/>
          <w:szCs w:val="24"/>
        </w:rPr>
        <w:t>Escavação</w:t>
      </w:r>
      <w:r w:rsidR="004F5D4C">
        <w:rPr>
          <w:rFonts w:ascii="Arial" w:hAnsi="Arial" w:cs="Arial"/>
          <w:b/>
          <w:sz w:val="24"/>
          <w:szCs w:val="24"/>
        </w:rPr>
        <w:t xml:space="preserve"> das Vias para Pavimentação</w:t>
      </w:r>
    </w:p>
    <w:p w:rsidR="004D53D7" w:rsidRDefault="004D53D7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Consiste na </w:t>
      </w:r>
      <w:r>
        <w:rPr>
          <w:rFonts w:ascii="Arial" w:hAnsi="Arial" w:cs="Arial"/>
          <w:sz w:val="24"/>
          <w:szCs w:val="24"/>
        </w:rPr>
        <w:t>escavação do solo em aproximadamente 40 cm conforme as cotas indicadas pela equipe topográfica, deixando o terreno nivelado para receber o</w:t>
      </w:r>
      <w:r w:rsidR="00324A0C">
        <w:rPr>
          <w:rFonts w:ascii="Arial" w:hAnsi="Arial" w:cs="Arial"/>
          <w:sz w:val="24"/>
          <w:szCs w:val="24"/>
        </w:rPr>
        <w:t xml:space="preserve"> mesmo solo, que será compactado novamente em duas camadas.</w:t>
      </w:r>
    </w:p>
    <w:p w:rsidR="00A654FC" w:rsidRDefault="00A654FC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rua deverá inicialmente ser “raspada”, removendo as impurezas da camada superior, utilizando uma moto-niveladora. Este material com impurezas deverá ser destinado para </w:t>
      </w:r>
      <w:r w:rsidR="00C11059">
        <w:rPr>
          <w:rFonts w:ascii="Arial" w:hAnsi="Arial" w:cs="Arial"/>
          <w:sz w:val="24"/>
          <w:szCs w:val="24"/>
        </w:rPr>
        <w:t>Bota-fora ou área apropriada</w:t>
      </w:r>
      <w:r>
        <w:rPr>
          <w:rFonts w:ascii="Arial" w:hAnsi="Arial" w:cs="Arial"/>
          <w:sz w:val="24"/>
          <w:szCs w:val="24"/>
        </w:rPr>
        <w:t>, conforme orientação da fis</w:t>
      </w:r>
      <w:r w:rsidR="00C11059">
        <w:rPr>
          <w:rFonts w:ascii="Arial" w:hAnsi="Arial" w:cs="Arial"/>
          <w:sz w:val="24"/>
          <w:szCs w:val="24"/>
        </w:rPr>
        <w:t>calização da Prefeitura.</w:t>
      </w:r>
    </w:p>
    <w:p w:rsidR="00A654FC" w:rsidRDefault="00C11059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material bom e apropriado para o reaterro das camadas de base e sub-base, deverá ser armazenado no local e coberto com lona.</w:t>
      </w:r>
    </w:p>
    <w:p w:rsidR="003F24B6" w:rsidRPr="004D53D7" w:rsidRDefault="003F24B6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A4E55" w:rsidRDefault="00DA4E55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A4E55">
        <w:rPr>
          <w:rFonts w:ascii="Arial" w:hAnsi="Arial" w:cs="Arial"/>
          <w:b/>
          <w:sz w:val="24"/>
          <w:szCs w:val="24"/>
        </w:rPr>
        <w:t>Reaterro</w:t>
      </w:r>
      <w:r w:rsidR="004F5D4C">
        <w:rPr>
          <w:rFonts w:ascii="Arial" w:hAnsi="Arial" w:cs="Arial"/>
          <w:b/>
          <w:sz w:val="24"/>
          <w:szCs w:val="24"/>
        </w:rPr>
        <w:t xml:space="preserve"> das Vias</w:t>
      </w:r>
    </w:p>
    <w:p w:rsidR="00DA4E55" w:rsidRDefault="00324A0C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24A0C">
        <w:rPr>
          <w:rFonts w:ascii="Arial" w:hAnsi="Arial" w:cs="Arial"/>
          <w:sz w:val="24"/>
          <w:szCs w:val="24"/>
        </w:rPr>
        <w:t xml:space="preserve">O reaterro será realizado com o solo </w:t>
      </w:r>
      <w:r w:rsidR="00C11059">
        <w:rPr>
          <w:rFonts w:ascii="Arial" w:hAnsi="Arial" w:cs="Arial"/>
          <w:sz w:val="24"/>
          <w:szCs w:val="24"/>
        </w:rPr>
        <w:t>proveniente da escavação local</w:t>
      </w:r>
      <w:r w:rsidRPr="00324A0C">
        <w:rPr>
          <w:rFonts w:ascii="Arial" w:hAnsi="Arial" w:cs="Arial"/>
          <w:sz w:val="24"/>
          <w:szCs w:val="24"/>
        </w:rPr>
        <w:t>, sempre verificando a qualidade do mesmo.</w:t>
      </w:r>
      <w:r>
        <w:rPr>
          <w:rFonts w:ascii="Arial" w:hAnsi="Arial" w:cs="Arial"/>
          <w:sz w:val="24"/>
          <w:szCs w:val="24"/>
        </w:rPr>
        <w:t xml:space="preserve"> Caso seja necessário, o mesmo deverá ser substituído</w:t>
      </w:r>
      <w:r w:rsidR="00C11059">
        <w:rPr>
          <w:rFonts w:ascii="Arial" w:hAnsi="Arial" w:cs="Arial"/>
          <w:sz w:val="24"/>
          <w:szCs w:val="24"/>
        </w:rPr>
        <w:t xml:space="preserve"> por argila de boa qualidade importado de uma jazida adequada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4A0C" w:rsidRDefault="00C11059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Moto niveladora deverá realizar o</w:t>
      </w:r>
      <w:r w:rsidR="00324A0C">
        <w:rPr>
          <w:rFonts w:ascii="Arial" w:hAnsi="Arial" w:cs="Arial"/>
          <w:sz w:val="24"/>
          <w:szCs w:val="24"/>
        </w:rPr>
        <w:t xml:space="preserve"> espalhamento</w:t>
      </w:r>
      <w:r w:rsidR="00A654FC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escarificação</w:t>
      </w:r>
      <w:r w:rsidR="00324A0C">
        <w:rPr>
          <w:rFonts w:ascii="Arial" w:hAnsi="Arial" w:cs="Arial"/>
          <w:sz w:val="24"/>
          <w:szCs w:val="24"/>
        </w:rPr>
        <w:t xml:space="preserve"> do solo para o reaterro</w:t>
      </w:r>
      <w:r>
        <w:rPr>
          <w:rFonts w:ascii="Arial" w:hAnsi="Arial" w:cs="Arial"/>
          <w:sz w:val="24"/>
          <w:szCs w:val="24"/>
        </w:rPr>
        <w:t>, que</w:t>
      </w:r>
      <w:r w:rsidR="00324A0C">
        <w:rPr>
          <w:rFonts w:ascii="Arial" w:hAnsi="Arial" w:cs="Arial"/>
          <w:sz w:val="24"/>
          <w:szCs w:val="24"/>
        </w:rPr>
        <w:t xml:space="preserve"> deverá ser uniforme e em camadas de aproximadamente 23 cm, pois as camadas de solo compactado não deverão ser superiores a 20 cm.</w:t>
      </w:r>
      <w:r>
        <w:rPr>
          <w:rFonts w:ascii="Arial" w:hAnsi="Arial" w:cs="Arial"/>
          <w:sz w:val="24"/>
          <w:szCs w:val="24"/>
        </w:rPr>
        <w:t xml:space="preserve"> Este solo também deverá ser umedecido através do uso de caminhão pipa com sistema do tipo “irrigadeira” até que atinja a umidade ótima para a compactação</w:t>
      </w:r>
      <w:r w:rsidR="00740365">
        <w:rPr>
          <w:rFonts w:ascii="Arial" w:hAnsi="Arial" w:cs="Arial"/>
          <w:sz w:val="24"/>
          <w:szCs w:val="24"/>
        </w:rPr>
        <w:t xml:space="preserve"> da sub-base à 100 % do Proctor Normal.</w:t>
      </w:r>
    </w:p>
    <w:p w:rsidR="00DA4E55" w:rsidRDefault="00DA4E55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A4E55">
        <w:rPr>
          <w:rFonts w:ascii="Arial" w:hAnsi="Arial" w:cs="Arial"/>
          <w:b/>
          <w:sz w:val="24"/>
          <w:szCs w:val="24"/>
        </w:rPr>
        <w:t>Compactação</w:t>
      </w:r>
      <w:r w:rsidR="004F5D4C">
        <w:rPr>
          <w:rFonts w:ascii="Arial" w:hAnsi="Arial" w:cs="Arial"/>
          <w:b/>
          <w:sz w:val="24"/>
          <w:szCs w:val="24"/>
        </w:rPr>
        <w:t xml:space="preserve"> das Camadas do Solo</w:t>
      </w:r>
    </w:p>
    <w:p w:rsidR="004D53D7" w:rsidRDefault="00324A0C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24A0C">
        <w:rPr>
          <w:rFonts w:ascii="Arial" w:hAnsi="Arial" w:cs="Arial"/>
          <w:sz w:val="24"/>
          <w:szCs w:val="24"/>
        </w:rPr>
        <w:t>Após o</w:t>
      </w:r>
      <w:r w:rsidR="00740365">
        <w:rPr>
          <w:rFonts w:ascii="Arial" w:hAnsi="Arial" w:cs="Arial"/>
          <w:sz w:val="24"/>
          <w:szCs w:val="24"/>
        </w:rPr>
        <w:t xml:space="preserve"> umedecimento,</w:t>
      </w:r>
      <w:r w:rsidRPr="00324A0C">
        <w:rPr>
          <w:rFonts w:ascii="Arial" w:hAnsi="Arial" w:cs="Arial"/>
          <w:sz w:val="24"/>
          <w:szCs w:val="24"/>
        </w:rPr>
        <w:t xml:space="preserve"> espalhamento</w:t>
      </w:r>
      <w:r w:rsidR="00740365">
        <w:rPr>
          <w:rFonts w:ascii="Arial" w:hAnsi="Arial" w:cs="Arial"/>
          <w:sz w:val="24"/>
          <w:szCs w:val="24"/>
        </w:rPr>
        <w:t xml:space="preserve"> e escarificação</w:t>
      </w:r>
      <w:r w:rsidRPr="00324A0C">
        <w:rPr>
          <w:rFonts w:ascii="Arial" w:hAnsi="Arial" w:cs="Arial"/>
          <w:sz w:val="24"/>
          <w:szCs w:val="24"/>
        </w:rPr>
        <w:t xml:space="preserve"> do solo para reaterro</w:t>
      </w:r>
      <w:r w:rsidR="006570A9">
        <w:rPr>
          <w:rFonts w:ascii="Arial" w:hAnsi="Arial" w:cs="Arial"/>
          <w:sz w:val="24"/>
          <w:szCs w:val="24"/>
        </w:rPr>
        <w:t xml:space="preserve"> em camadas de aproximadamente 23 cm, será iniciado a execução da compactação do solo utilizando rolo pé-de-carneiro e rolo liso vibratório. </w:t>
      </w:r>
    </w:p>
    <w:p w:rsidR="006570A9" w:rsidRDefault="006570A9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sequência deverá ser realizado o ensaio de compactação do solo, seguindo as Normas e Procedimentos do DER. Caso o resultado do ensaio do solo não atinja o grau de compactação necessário ao 100 % do Proctor Normal, todo o processo, desde o umedecimento e escarificação do solo, deverá ser novamente realizado, até que o resultado desejado seja atingido.</w:t>
      </w:r>
    </w:p>
    <w:p w:rsidR="00D4707E" w:rsidRDefault="00D4707E" w:rsidP="0011219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4707E" w:rsidRDefault="00D4707E" w:rsidP="0011219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D53D7" w:rsidRDefault="00E54FAD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Guias e Sarj</w:t>
      </w:r>
      <w:r w:rsidR="004D53D7">
        <w:rPr>
          <w:rFonts w:ascii="Arial" w:hAnsi="Arial" w:cs="Arial"/>
          <w:b/>
          <w:sz w:val="24"/>
          <w:szCs w:val="24"/>
        </w:rPr>
        <w:t>etas</w:t>
      </w:r>
    </w:p>
    <w:p w:rsidR="00DA4E55" w:rsidRDefault="006570A9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6570A9">
        <w:rPr>
          <w:rFonts w:ascii="Arial" w:hAnsi="Arial" w:cs="Arial"/>
          <w:sz w:val="24"/>
          <w:szCs w:val="24"/>
        </w:rPr>
        <w:t xml:space="preserve">As guias e sarjetas </w:t>
      </w:r>
      <w:r>
        <w:rPr>
          <w:rFonts w:ascii="Arial" w:hAnsi="Arial" w:cs="Arial"/>
          <w:sz w:val="24"/>
          <w:szCs w:val="24"/>
        </w:rPr>
        <w:t>utilizarão o processo de construção de extrusão, onde serão moldadas in loco, utilizando concreto com FCK de 25 Mpa, na espessura de 10 cm</w:t>
      </w:r>
      <w:r w:rsidR="003B6218">
        <w:rPr>
          <w:rFonts w:ascii="Arial" w:hAnsi="Arial" w:cs="Arial"/>
          <w:sz w:val="24"/>
          <w:szCs w:val="24"/>
        </w:rPr>
        <w:t xml:space="preserve"> para sarjetas e para as guias. As mesmas deverão ter juntas de dilatação a cada 2,0 metros.</w:t>
      </w:r>
    </w:p>
    <w:p w:rsidR="003B6218" w:rsidRDefault="003B6218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dimensões as guias serão de 10 x</w:t>
      </w:r>
      <w:r w:rsidR="0049495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cm e das sarjetas também serão de 10 x 30 cm.</w:t>
      </w:r>
    </w:p>
    <w:p w:rsidR="002B3A25" w:rsidRDefault="002B3A25" w:rsidP="002B3A25">
      <w:pPr>
        <w:pStyle w:val="SemEspaamento"/>
        <w:ind w:firstLine="360"/>
        <w:jc w:val="both"/>
      </w:pPr>
    </w:p>
    <w:p w:rsidR="002B3A25" w:rsidRDefault="002B3A25" w:rsidP="002B3A25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AC4759" w:rsidRPr="001B6D6A" w:rsidRDefault="00F561E8" w:rsidP="00112190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D6A">
        <w:rPr>
          <w:rFonts w:ascii="Arial" w:hAnsi="Arial" w:cs="Arial"/>
          <w:b/>
          <w:sz w:val="24"/>
          <w:szCs w:val="24"/>
        </w:rPr>
        <w:t>Camada de Rolame</w:t>
      </w:r>
      <w:r w:rsidR="001B6D6A">
        <w:rPr>
          <w:rFonts w:ascii="Arial" w:hAnsi="Arial" w:cs="Arial"/>
          <w:b/>
          <w:sz w:val="24"/>
          <w:szCs w:val="24"/>
        </w:rPr>
        <w:t>nto</w:t>
      </w:r>
    </w:p>
    <w:p w:rsidR="0013705E" w:rsidRDefault="004F3041" w:rsidP="00112190">
      <w:pPr>
        <w:pStyle w:val="SemEspaamento"/>
        <w:numPr>
          <w:ilvl w:val="1"/>
          <w:numId w:val="4"/>
        </w:numPr>
        <w:tabs>
          <w:tab w:val="center" w:pos="461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Imprimação I</w:t>
      </w:r>
      <w:r w:rsidR="00DC582F" w:rsidRPr="00AC4759">
        <w:rPr>
          <w:rFonts w:ascii="Arial" w:hAnsi="Arial" w:cs="Arial"/>
          <w:b/>
          <w:sz w:val="24"/>
          <w:szCs w:val="24"/>
        </w:rPr>
        <w:t>mpermeabilizante</w:t>
      </w:r>
    </w:p>
    <w:p w:rsidR="00AC4759" w:rsidRPr="00BA3AEB" w:rsidRDefault="00B11311" w:rsidP="00112190">
      <w:pPr>
        <w:pStyle w:val="SemEspaamento"/>
        <w:tabs>
          <w:tab w:val="num" w:pos="1302"/>
          <w:tab w:val="center" w:pos="46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BA3AEB">
        <w:rPr>
          <w:rFonts w:ascii="Arial" w:hAnsi="Arial" w:cs="Arial"/>
          <w:sz w:val="24"/>
          <w:szCs w:val="24"/>
        </w:rPr>
        <w:t>A imprimação consiste na aplicação de camada de material betuminoso sobre superfície de base concluída, antes da execução de um revestimento betuminoso qualquer, objetivando conferir coesão superficial, impermeabilizar e permitir condições de aderência entre esta e o revestimento a ser executado.</w:t>
      </w:r>
    </w:p>
    <w:p w:rsidR="00AC4759" w:rsidRPr="00BA3AEB" w:rsidRDefault="00052696" w:rsidP="00112190">
      <w:pPr>
        <w:pStyle w:val="SemEspaamento"/>
        <w:tabs>
          <w:tab w:val="num" w:pos="1302"/>
          <w:tab w:val="center" w:pos="4612"/>
        </w:tabs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ab/>
      </w:r>
      <w:r w:rsidR="00DC582F" w:rsidRPr="00BA3AEB">
        <w:rPr>
          <w:rFonts w:ascii="Arial" w:hAnsi="Arial" w:cs="Arial"/>
          <w:sz w:val="24"/>
          <w:szCs w:val="24"/>
        </w:rPr>
        <w:t>O ligante betuminoso não deve ser distribuído quando a temperatura ambiente for inferior a 10 ºC, nem em dias de chuva.</w:t>
      </w:r>
    </w:p>
    <w:p w:rsidR="00AC4759" w:rsidRPr="00BA3AEB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Todo carregamento de ligante betuminoso que chegar à obra deverá ser recebido pelo por um técnico habilitado para manter</w:t>
      </w:r>
      <w:r w:rsidRPr="00BA3AEB">
        <w:rPr>
          <w:rFonts w:ascii="Arial" w:hAnsi="Arial" w:cs="Arial"/>
          <w:sz w:val="24"/>
          <w:szCs w:val="24"/>
        </w:rPr>
        <w:tab/>
        <w:t xml:space="preserve"> de controle da qualidade. Deve acompanhar documentação apresentando seu tipo, procedência e quantidade do conteúdo.</w:t>
      </w:r>
    </w:p>
    <w:p w:rsidR="00AC4759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O depósito de ligante betuminoso, quando necessário, deve ser equipado com dispositivo que permita o aquecimento adequado e uniforme do conteúdo do recipiente. O depósito deve ter uma capacidade tal que possa armazenar a quantidade de ligante betuminoso a ser aplicado em, pelo menos, um dia de trabalho.</w:t>
      </w:r>
    </w:p>
    <w:p w:rsidR="00AC4759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 xml:space="preserve">Após a perfeita conformação geométrica da base, proceder a </w:t>
      </w:r>
      <w:r w:rsidR="00112190">
        <w:rPr>
          <w:rFonts w:ascii="Arial" w:hAnsi="Arial" w:cs="Arial"/>
          <w:sz w:val="24"/>
          <w:szCs w:val="24"/>
        </w:rPr>
        <w:t>verificação</w:t>
      </w:r>
      <w:r w:rsidRPr="00DC582F">
        <w:rPr>
          <w:rFonts w:ascii="Arial" w:hAnsi="Arial" w:cs="Arial"/>
          <w:sz w:val="24"/>
          <w:szCs w:val="24"/>
        </w:rPr>
        <w:t xml:space="preserve"> da superfície, de modo a eliminar todo e qualquer material solto.</w:t>
      </w:r>
    </w:p>
    <w:p w:rsidR="00AC4759" w:rsidRDefault="00052696" w:rsidP="00112190">
      <w:pPr>
        <w:pStyle w:val="SemEspaamento"/>
        <w:tabs>
          <w:tab w:val="num" w:pos="-4820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Antes da aplicação do ligante betuminoso o local poderá ser levemente umedecido.</w:t>
      </w:r>
    </w:p>
    <w:p w:rsidR="00052696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Deve-se imprimar a área em inteira em um mesmo turno de trabalho. O tempo de exposição da base imprimada ao tráfego é condicionado ao comportamento da mesma, não devendo ultrapassar 30 dias.</w:t>
      </w:r>
    </w:p>
    <w:p w:rsidR="0013705E" w:rsidRDefault="0013705E" w:rsidP="00112190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582F" w:rsidRDefault="00DC582F" w:rsidP="00112190">
      <w:pPr>
        <w:pStyle w:val="SemEspaamento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4759">
        <w:rPr>
          <w:rFonts w:ascii="Arial" w:hAnsi="Arial" w:cs="Arial"/>
          <w:b/>
          <w:sz w:val="24"/>
          <w:szCs w:val="24"/>
        </w:rPr>
        <w:t>Pintura de Ligação</w:t>
      </w:r>
    </w:p>
    <w:p w:rsidR="003F24B6" w:rsidRPr="003F24B6" w:rsidRDefault="00FA6450" w:rsidP="003F24B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A</w:t>
      </w:r>
      <w:r w:rsidR="00DC582F" w:rsidRPr="003F24B6">
        <w:rPr>
          <w:rFonts w:ascii="Arial" w:hAnsi="Arial" w:cs="Arial"/>
          <w:sz w:val="24"/>
          <w:szCs w:val="24"/>
        </w:rPr>
        <w:t xml:space="preserve"> pintura de ligação consiste na aplicação de ligante betuminoso sobre a superfície de base coesiva ou pavimento betuminoso anterior à execução de uma camada betuminosa qualquer, objetivando promover condições de aderência entre as camadas.</w:t>
      </w:r>
    </w:p>
    <w:p w:rsidR="00DC582F" w:rsidRPr="003F24B6" w:rsidRDefault="00DC582F" w:rsidP="003F24B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3F24B6">
        <w:rPr>
          <w:rFonts w:ascii="Arial" w:hAnsi="Arial" w:cs="Arial"/>
          <w:sz w:val="24"/>
          <w:szCs w:val="24"/>
        </w:rPr>
        <w:t>A taxa recomendada de ligante betuminosol é de 0,4 l/m² a 0,6 l/m². Antes da aplicação, a emulsão deverá ser diluída na proporção de 1:1 com água a fim de garantir a uniformidade na distribuição desta taxa residual. A taxa de aplicação de emulsão diluída é da ordem de 0,8 l/m² a 1,2 l/m</w:t>
      </w:r>
      <w:r w:rsidR="007B5416" w:rsidRPr="003F24B6">
        <w:rPr>
          <w:rFonts w:ascii="Arial" w:hAnsi="Arial" w:cs="Arial"/>
          <w:sz w:val="24"/>
          <w:szCs w:val="24"/>
        </w:rPr>
        <w:t>². Tambémse executa</w:t>
      </w:r>
      <w:r w:rsidRPr="003F24B6">
        <w:rPr>
          <w:rFonts w:ascii="Arial" w:hAnsi="Arial" w:cs="Arial"/>
          <w:sz w:val="24"/>
          <w:szCs w:val="24"/>
        </w:rPr>
        <w:t xml:space="preserve"> à pintura de ligação com emulsão asfáltica diluída RR2C.</w:t>
      </w:r>
    </w:p>
    <w:p w:rsidR="00DC582F" w:rsidRPr="00BA3AEB" w:rsidRDefault="00DC582F" w:rsidP="00112190">
      <w:pPr>
        <w:pStyle w:val="Ttulo3"/>
        <w:spacing w:before="0" w:line="240" w:lineRule="auto"/>
        <w:ind w:firstLine="708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lastRenderedPageBreak/>
        <w:t>Antes da aplicação do ligante betuminoso, no caso de bases de solo-cimento ou concreto magro, a superfície da base deve ser umedecida.</w:t>
      </w:r>
    </w:p>
    <w:p w:rsidR="00DC582F" w:rsidRDefault="00DC582F" w:rsidP="00112190">
      <w:pPr>
        <w:pStyle w:val="Ttulo3"/>
        <w:spacing w:before="0" w:line="240" w:lineRule="auto"/>
        <w:ind w:firstLine="360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t>A fim de evitar a superposição ou excesso de material nos pontos iniciais e finais das aplicações, colocam-se faixas de papel, transversalmente na pista, de modo que o material betuminoso comece e termine de sair da barra de distribuição sobre essas faixas, as quais, a seguir, serão retiradas; e qualquer falha na aplicação, imediatamente corrigida.</w:t>
      </w:r>
    </w:p>
    <w:p w:rsidR="003F24B6" w:rsidRPr="003F24B6" w:rsidRDefault="003F24B6" w:rsidP="003F24B6"/>
    <w:p w:rsidR="00AC4759" w:rsidRDefault="00AC4759" w:rsidP="00112190">
      <w:pPr>
        <w:pStyle w:val="Ttulo2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C4759">
        <w:rPr>
          <w:rFonts w:ascii="Arial" w:hAnsi="Arial" w:cs="Arial"/>
          <w:color w:val="auto"/>
          <w:sz w:val="24"/>
          <w:szCs w:val="24"/>
        </w:rPr>
        <w:t>Concreto Betuminoso Usinado a Quente (CBUQ)</w:t>
      </w:r>
    </w:p>
    <w:p w:rsidR="00AC4759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Sobre a pintura de ligação, será executado uma camada de 3,0 cm de concreto betuminoso usinado à quente CBUQ, seguido de compactação com rolo Tandem de 5 à 8 toneladas.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O concreto betuminoso produzido deverá ser transportado, da usina ao ponto de aplicação, em veículos basculantes.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Quando necessário, para que a mistura seja colocada na pista à temperatura especificada, cada carregamento deverá ser coberto com lona ou outro material aceitável, com tamanho suficiente para proteger.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Caso ocorram irregularidades na superfície da camada, estas deverão ser sanadas pela adição manual de concreto betuminoso, sendo esse espalhamento efetuado por meio de ancinhos e rodos metálicos.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Caso sejam empregados rolos de pneus de pressão variável, inicia-se a rolagem com baixa pressão, a qual será aumentada à medida que a mistura vai sendo compactada, e consequentemente suportando pressões mais elevadas.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 xml:space="preserve">Cada passada do rolo deve ser </w:t>
      </w:r>
      <w:r w:rsidR="007B5416">
        <w:rPr>
          <w:rFonts w:ascii="Arial" w:hAnsi="Arial" w:cs="Arial"/>
          <w:sz w:val="24"/>
          <w:szCs w:val="24"/>
        </w:rPr>
        <w:t>recoberta</w:t>
      </w:r>
      <w:r w:rsidRPr="00BA3AEB">
        <w:rPr>
          <w:rFonts w:ascii="Arial" w:hAnsi="Arial" w:cs="Arial"/>
          <w:sz w:val="24"/>
          <w:szCs w:val="24"/>
        </w:rPr>
        <w:t xml:space="preserve"> na seguinte de pelo menos metade da largura rolada. Em qualquer caso, a operação de rolagem perdurará até o momento em que seja atingida a compactação especificada.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Durante a rolagem não serão permitidas mudanças de direção e inversões bruscas de marcha, nem estacionamento do equipamento sobre o revestimento recém-rolado. As rodas do rolo deverão ser umedecidas adequadamente, de modo a evitar a aderência da mistura.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Os revestimentos recém acabados deverão ser mantidos sem tráfego até o seu completo resfriamento.</w:t>
      </w:r>
    </w:p>
    <w:p w:rsidR="00AC4759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O controle do Grau de Compressão da mistura betuminosa deverá ser feito, preferencialmente, medindo-se a densidade aparente de corpos-de-prova extraídos da mistura espalhada e comprimida na pista, por meio de brocas rotativas.</w:t>
      </w:r>
    </w:p>
    <w:p w:rsidR="00AC4759" w:rsidRPr="00BA3AEB" w:rsidRDefault="00AC4759" w:rsidP="00112190">
      <w:pPr>
        <w:pStyle w:val="Ttulo3"/>
        <w:spacing w:before="0" w:line="240" w:lineRule="auto"/>
        <w:ind w:firstLine="708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t>Poderão ser utilizados outros métodos para determinação da densidade aparente na pista, desde que aprovados pelo Projetista.</w:t>
      </w:r>
    </w:p>
    <w:p w:rsidR="00AC4759" w:rsidRDefault="00AC4759" w:rsidP="00112190">
      <w:pPr>
        <w:pStyle w:val="Ttulo3"/>
        <w:spacing w:before="0" w:line="240" w:lineRule="auto"/>
        <w:ind w:firstLine="709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t>O Grau de Compressão deverá ser maior ou igual a 97%.</w:t>
      </w:r>
    </w:p>
    <w:p w:rsidR="00D4707E" w:rsidRPr="00D4707E" w:rsidRDefault="00D4707E" w:rsidP="00D4707E"/>
    <w:p w:rsidR="001D6D31" w:rsidRDefault="007B5416" w:rsidP="00112190">
      <w:pPr>
        <w:pStyle w:val="Ttulo1Metr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Sinalização Viária</w:t>
      </w:r>
    </w:p>
    <w:p w:rsidR="00AC4759" w:rsidRDefault="001D6D31" w:rsidP="00112190">
      <w:pPr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Todas as ruas </w:t>
      </w:r>
      <w:r w:rsidR="00112190">
        <w:rPr>
          <w:rFonts w:ascii="Arial" w:hAnsi="Arial" w:cs="Arial"/>
          <w:sz w:val="24"/>
          <w:szCs w:val="24"/>
        </w:rPr>
        <w:t>pavimenta</w:t>
      </w:r>
      <w:r>
        <w:rPr>
          <w:rFonts w:ascii="Arial" w:hAnsi="Arial" w:cs="Arial"/>
          <w:sz w:val="24"/>
          <w:szCs w:val="24"/>
        </w:rPr>
        <w:t>das deverão receber a pintura da sinalização viária conforme o projeto, contendo faixas de pedestres, faixa retentora e demais itens necessários a demanda viária do Município, sempre seguindo todas as Normas Técnicas Brasileiras.</w:t>
      </w:r>
    </w:p>
    <w:p w:rsidR="00021F98" w:rsidRDefault="00021F98" w:rsidP="00112190">
      <w:pPr>
        <w:jc w:val="both"/>
        <w:rPr>
          <w:rFonts w:ascii="Arial" w:hAnsi="Arial" w:cs="Arial"/>
          <w:sz w:val="24"/>
          <w:szCs w:val="24"/>
        </w:rPr>
      </w:pPr>
    </w:p>
    <w:p w:rsidR="00021F98" w:rsidRDefault="00021F98" w:rsidP="00112190">
      <w:pPr>
        <w:jc w:val="both"/>
        <w:rPr>
          <w:rFonts w:ascii="Arial" w:hAnsi="Arial" w:cs="Arial"/>
          <w:sz w:val="24"/>
          <w:szCs w:val="24"/>
        </w:rPr>
      </w:pPr>
    </w:p>
    <w:p w:rsidR="00F561E8" w:rsidRPr="001068CD" w:rsidRDefault="00F561E8" w:rsidP="00112190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AC4759" w:rsidRDefault="00052696" w:rsidP="00112190">
      <w:pPr>
        <w:pStyle w:val="Ttulo1Metr"/>
        <w:numPr>
          <w:ilvl w:val="0"/>
          <w:numId w:val="0"/>
        </w:numPr>
        <w:rPr>
          <w:sz w:val="24"/>
          <w:szCs w:val="24"/>
        </w:rPr>
      </w:pPr>
      <w:bookmarkStart w:id="3" w:name="_Toc477342878"/>
      <w:bookmarkStart w:id="4" w:name="_Toc481047821"/>
      <w:r>
        <w:rPr>
          <w:sz w:val="24"/>
          <w:szCs w:val="24"/>
        </w:rPr>
        <w:t xml:space="preserve">3. </w:t>
      </w:r>
      <w:r w:rsidR="00AC4759" w:rsidRPr="00AC4759">
        <w:rPr>
          <w:sz w:val="24"/>
          <w:szCs w:val="24"/>
        </w:rPr>
        <w:t>R</w:t>
      </w:r>
      <w:bookmarkEnd w:id="3"/>
      <w:bookmarkEnd w:id="4"/>
      <w:r w:rsidR="007B5416">
        <w:rPr>
          <w:sz w:val="24"/>
          <w:szCs w:val="24"/>
        </w:rPr>
        <w:t>egistros e Documentação</w:t>
      </w:r>
    </w:p>
    <w:p w:rsidR="00AC4759" w:rsidRDefault="00AC4759" w:rsidP="00112190">
      <w:pPr>
        <w:tabs>
          <w:tab w:val="num" w:pos="567"/>
          <w:tab w:val="num" w:pos="1440"/>
          <w:tab w:val="left" w:pos="9781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AC4759">
        <w:rPr>
          <w:rFonts w:ascii="Arial" w:hAnsi="Arial" w:cs="Arial"/>
          <w:sz w:val="24"/>
          <w:szCs w:val="24"/>
        </w:rPr>
        <w:tab/>
        <w:t>Os dados relativos a este serviço serão registrados em desenhos conforme construído, incluindo certificados dos materiais utilizados. Serão mantidos os registros nos arquivos do Controle da Qualidade.</w:t>
      </w:r>
    </w:p>
    <w:p w:rsidR="00F561E8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3F24B6" w:rsidRPr="001068CD" w:rsidRDefault="003F24B6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8069C7" w:rsidRDefault="008069C7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</w:t>
      </w:r>
      <w:r w:rsidR="00E54FAD">
        <w:rPr>
          <w:rFonts w:asciiTheme="majorHAnsi" w:hAnsiTheme="majorHAnsi" w:cs="Arial"/>
          <w:sz w:val="26"/>
          <w:szCs w:val="26"/>
        </w:rPr>
        <w:t>18</w:t>
      </w:r>
      <w:r w:rsidRPr="001068CD">
        <w:rPr>
          <w:rFonts w:asciiTheme="majorHAnsi" w:hAnsiTheme="majorHAnsi" w:cs="Arial"/>
          <w:sz w:val="26"/>
          <w:szCs w:val="26"/>
        </w:rPr>
        <w:t xml:space="preserve"> de </w:t>
      </w:r>
      <w:r w:rsidR="00E54FAD">
        <w:rPr>
          <w:rFonts w:asciiTheme="majorHAnsi" w:hAnsiTheme="majorHAnsi" w:cs="Arial"/>
          <w:sz w:val="26"/>
          <w:szCs w:val="26"/>
        </w:rPr>
        <w:t>Mai</w:t>
      </w:r>
      <w:r w:rsidR="00644E2D">
        <w:rPr>
          <w:rFonts w:asciiTheme="majorHAnsi" w:hAnsiTheme="majorHAnsi" w:cs="Arial"/>
          <w:sz w:val="26"/>
          <w:szCs w:val="26"/>
        </w:rPr>
        <w:t>o</w:t>
      </w:r>
      <w:r w:rsidRPr="001068CD">
        <w:rPr>
          <w:rFonts w:asciiTheme="majorHAnsi" w:hAnsiTheme="majorHAnsi" w:cs="Arial"/>
          <w:sz w:val="26"/>
          <w:szCs w:val="26"/>
        </w:rPr>
        <w:t xml:space="preserve"> de 20</w:t>
      </w:r>
      <w:r w:rsidR="00E54FAD">
        <w:rPr>
          <w:rFonts w:asciiTheme="majorHAnsi" w:hAnsiTheme="majorHAnsi" w:cs="Arial"/>
          <w:sz w:val="26"/>
          <w:szCs w:val="26"/>
        </w:rPr>
        <w:t>20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FF51D3" w:rsidRDefault="00FF51D3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F51D3" w:rsidRDefault="00FF51D3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9789A" w:rsidRDefault="00D9789A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Pr="00177E1D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BA3AEB" w:rsidRPr="0069391A" w:rsidRDefault="00BA3AEB" w:rsidP="00BA3AEB">
      <w:pPr>
        <w:rPr>
          <w:rFonts w:ascii="Palatino Linotype" w:hAnsi="Palatino Linotype" w:cs="Arial"/>
          <w:sz w:val="28"/>
          <w:szCs w:val="28"/>
        </w:rPr>
      </w:pPr>
    </w:p>
    <w:p w:rsidR="000002CB" w:rsidRDefault="000002CB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FF51D3" w:rsidRDefault="00FF51D3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9789A" w:rsidRDefault="00D9789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Pr="00BA3AEB" w:rsidRDefault="0013705E" w:rsidP="001068CD">
      <w:pPr>
        <w:pStyle w:val="SemEspaamento"/>
        <w:jc w:val="center"/>
        <w:rPr>
          <w:rFonts w:asciiTheme="majorHAnsi" w:hAnsiTheme="majorHAnsi" w:cs="Arial"/>
          <w:b/>
          <w:sz w:val="24"/>
          <w:szCs w:val="24"/>
        </w:rPr>
      </w:pPr>
      <w:r w:rsidRPr="00BA3AEB">
        <w:rPr>
          <w:rFonts w:asciiTheme="majorHAnsi" w:hAnsiTheme="majorHAnsi" w:cs="Arial"/>
          <w:b/>
          <w:sz w:val="24"/>
          <w:szCs w:val="24"/>
        </w:rPr>
        <w:t>Cesar Henrique da Cunha Fiala</w:t>
      </w:r>
    </w:p>
    <w:p w:rsidR="0013705E" w:rsidRPr="00BA3AEB" w:rsidRDefault="0013705E" w:rsidP="001068CD">
      <w:pPr>
        <w:pStyle w:val="SemEspaamento"/>
        <w:jc w:val="center"/>
        <w:rPr>
          <w:rFonts w:asciiTheme="majorHAnsi" w:hAnsiTheme="majorHAnsi" w:cs="Arial"/>
          <w:b/>
          <w:sz w:val="24"/>
          <w:szCs w:val="24"/>
        </w:rPr>
      </w:pPr>
      <w:r w:rsidRPr="00BA3AEB">
        <w:rPr>
          <w:rFonts w:asciiTheme="majorHAnsi" w:hAnsiTheme="majorHAnsi" w:cs="Arial"/>
          <w:b/>
          <w:sz w:val="24"/>
          <w:szCs w:val="24"/>
        </w:rPr>
        <w:t>Prefeito Municipal</w:t>
      </w:r>
    </w:p>
    <w:sectPr w:rsidR="0013705E" w:rsidRPr="00BA3AEB" w:rsidSect="00FA6450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E3" w:rsidRDefault="00BB0AE3" w:rsidP="00187405">
      <w:pPr>
        <w:spacing w:after="0" w:line="240" w:lineRule="auto"/>
      </w:pPr>
      <w:r>
        <w:separator/>
      </w:r>
    </w:p>
  </w:endnote>
  <w:endnote w:type="continuationSeparator" w:id="1">
    <w:p w:rsidR="00BB0AE3" w:rsidRDefault="00BB0AE3" w:rsidP="001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DD3F9F">
    <w:pPr>
      <w:pStyle w:val="Rodap"/>
    </w:pPr>
    <w:r w:rsidRPr="00DD3F9F">
      <w:rPr>
        <w:noProof/>
        <w:color w:val="4F81BD" w:themeColor="accent1"/>
        <w:lang w:eastAsia="pt-BR"/>
      </w:rPr>
      <w:pict>
        <v:rect id="Retângulo 452" o:spid="_x0000_s38913" style="position:absolute;margin-left:0;margin-top:0;width:563.5pt;height:798.15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" filled="f" strokecolor="#938953 [1614]" strokeweight="1.25pt">
          <v:path arrowok="t"/>
          <w10:wrap anchorx="page" anchory="page"/>
        </v:rect>
      </w:pict>
    </w:r>
    <w:r w:rsidRPr="00DD3F9F">
      <w:rPr>
        <w:rFonts w:eastAsiaTheme="minorEastAsia"/>
        <w:color w:val="4F81BD" w:themeColor="accent1"/>
        <w:sz w:val="20"/>
        <w:szCs w:val="20"/>
      </w:rPr>
      <w:fldChar w:fldCharType="begin"/>
    </w:r>
    <w:r w:rsidR="0013705E">
      <w:rPr>
        <w:color w:val="4F81BD" w:themeColor="accent1"/>
        <w:sz w:val="20"/>
        <w:szCs w:val="20"/>
      </w:rPr>
      <w:instrText>PAGE    \* MERGEFORMAT</w:instrText>
    </w:r>
    <w:r w:rsidRPr="00DD3F9F">
      <w:rPr>
        <w:rFonts w:eastAsiaTheme="minorEastAsia"/>
        <w:color w:val="4F81BD" w:themeColor="accent1"/>
        <w:sz w:val="20"/>
        <w:szCs w:val="20"/>
      </w:rPr>
      <w:fldChar w:fldCharType="separate"/>
    </w:r>
    <w:r w:rsidR="00D457F0" w:rsidRPr="00D457F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E3" w:rsidRDefault="00BB0AE3" w:rsidP="00187405">
      <w:pPr>
        <w:spacing w:after="0" w:line="240" w:lineRule="auto"/>
      </w:pPr>
      <w:r>
        <w:separator/>
      </w:r>
    </w:p>
  </w:footnote>
  <w:footnote w:type="continuationSeparator" w:id="1">
    <w:p w:rsidR="00BB0AE3" w:rsidRDefault="00BB0AE3" w:rsidP="001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13705E" w:rsidP="0013705E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92710</wp:posOffset>
          </wp:positionV>
          <wp:extent cx="812800" cy="942975"/>
          <wp:effectExtent l="19050" t="0" r="6350" b="0"/>
          <wp:wrapSquare wrapText="right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705E" w:rsidRPr="00A31DE6" w:rsidRDefault="0013705E" w:rsidP="0013705E">
    <w:pPr>
      <w:jc w:val="center"/>
      <w:rPr>
        <w:rFonts w:ascii="Algerian" w:hAnsi="Algerian"/>
        <w:b/>
        <w:sz w:val="44"/>
        <w:szCs w:val="44"/>
      </w:rPr>
    </w:pPr>
    <w:r>
      <w:rPr>
        <w:rFonts w:ascii="Algerian" w:hAnsi="Algerian"/>
        <w:b/>
        <w:sz w:val="44"/>
        <w:szCs w:val="44"/>
      </w:rPr>
      <w:t>MUNICÍPIO</w:t>
    </w:r>
    <w:r w:rsidRPr="00A31DE6">
      <w:rPr>
        <w:rFonts w:ascii="Algerian" w:hAnsi="Algerian"/>
        <w:b/>
        <w:sz w:val="44"/>
        <w:szCs w:val="44"/>
      </w:rPr>
      <w:t xml:space="preserve"> DE PIRAJUÍ</w:t>
    </w:r>
  </w:p>
  <w:p w:rsidR="0013705E" w:rsidRPr="000D4086" w:rsidRDefault="0013705E" w:rsidP="0013705E">
    <w:pPr>
      <w:pStyle w:val="Recuodecorpodetexto"/>
      <w:ind w:left="284"/>
      <w:jc w:val="center"/>
      <w:rPr>
        <w:sz w:val="20"/>
      </w:rPr>
    </w:pPr>
    <w:r w:rsidRPr="000D4086">
      <w:rPr>
        <w:sz w:val="20"/>
      </w:rPr>
      <w:t xml:space="preserve">Praça Dr. Pedro da Rocha Braga nº116 </w:t>
    </w:r>
    <w:r w:rsidR="009E526A">
      <w:rPr>
        <w:sz w:val="20"/>
      </w:rPr>
      <w:t>-</w:t>
    </w:r>
    <w:r w:rsidRPr="000D4086">
      <w:rPr>
        <w:sz w:val="20"/>
      </w:rPr>
      <w:t xml:space="preserve"> CEP 16.600-0</w:t>
    </w:r>
    <w:r w:rsidR="009E526A">
      <w:rPr>
        <w:sz w:val="20"/>
      </w:rPr>
      <w:t>41 -CNPJ:</w:t>
    </w:r>
    <w:r w:rsidRPr="000D4086">
      <w:rPr>
        <w:sz w:val="20"/>
      </w:rPr>
      <w:t xml:space="preserve"> 44.555.027/0001-16</w:t>
    </w:r>
  </w:p>
  <w:p w:rsidR="00187405" w:rsidRDefault="0013705E" w:rsidP="0013705E">
    <w:pPr>
      <w:pStyle w:val="Recuodecorpodetexto"/>
      <w:ind w:left="284"/>
      <w:jc w:val="center"/>
    </w:pPr>
    <w:r w:rsidRPr="000D4086">
      <w:rPr>
        <w:sz w:val="20"/>
        <w:szCs w:val="22"/>
      </w:rPr>
      <w:t>Fone: (14) 3572-</w:t>
    </w:r>
    <w:r>
      <w:rPr>
        <w:sz w:val="20"/>
        <w:szCs w:val="22"/>
      </w:rPr>
      <w:t>8222</w:t>
    </w:r>
    <w:r w:rsidRPr="000D4086">
      <w:rPr>
        <w:sz w:val="20"/>
        <w:szCs w:val="22"/>
      </w:rPr>
      <w:t xml:space="preserve"> - Pirajuí – 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58"/>
    <w:multiLevelType w:val="multilevel"/>
    <w:tmpl w:val="11D43D24"/>
    <w:lvl w:ilvl="0">
      <w:start w:val="1"/>
      <w:numFmt w:val="decimal"/>
      <w:pStyle w:val="Ttulo1Met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Metr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Met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Metr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Metr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Restart w:val="4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123E0DAC"/>
    <w:multiLevelType w:val="multilevel"/>
    <w:tmpl w:val="984408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244A84"/>
    <w:multiLevelType w:val="multilevel"/>
    <w:tmpl w:val="E9DE8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CE10FC"/>
    <w:multiLevelType w:val="multilevel"/>
    <w:tmpl w:val="5958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63C57B8"/>
    <w:multiLevelType w:val="hybridMultilevel"/>
    <w:tmpl w:val="042C84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B8364B"/>
    <w:rsid w:val="000002CB"/>
    <w:rsid w:val="000139A1"/>
    <w:rsid w:val="00021F98"/>
    <w:rsid w:val="00023631"/>
    <w:rsid w:val="000338F6"/>
    <w:rsid w:val="00033E7D"/>
    <w:rsid w:val="00041B7B"/>
    <w:rsid w:val="00052696"/>
    <w:rsid w:val="00057F40"/>
    <w:rsid w:val="00081B24"/>
    <w:rsid w:val="00087EEC"/>
    <w:rsid w:val="000950EF"/>
    <w:rsid w:val="000E75C6"/>
    <w:rsid w:val="001068CD"/>
    <w:rsid w:val="00112190"/>
    <w:rsid w:val="0013705E"/>
    <w:rsid w:val="00145C6E"/>
    <w:rsid w:val="0016768F"/>
    <w:rsid w:val="00177E1D"/>
    <w:rsid w:val="00187405"/>
    <w:rsid w:val="001B6D6A"/>
    <w:rsid w:val="001C0B5B"/>
    <w:rsid w:val="001D6D31"/>
    <w:rsid w:val="0020587E"/>
    <w:rsid w:val="00211A64"/>
    <w:rsid w:val="002966DA"/>
    <w:rsid w:val="002A7507"/>
    <w:rsid w:val="002B3A25"/>
    <w:rsid w:val="002D517D"/>
    <w:rsid w:val="0032092B"/>
    <w:rsid w:val="00324A0C"/>
    <w:rsid w:val="0038062D"/>
    <w:rsid w:val="003B6218"/>
    <w:rsid w:val="003D04C5"/>
    <w:rsid w:val="003D36CC"/>
    <w:rsid w:val="003F24B6"/>
    <w:rsid w:val="004070DF"/>
    <w:rsid w:val="00427E69"/>
    <w:rsid w:val="00446B37"/>
    <w:rsid w:val="0046026D"/>
    <w:rsid w:val="00481187"/>
    <w:rsid w:val="00494957"/>
    <w:rsid w:val="004A5858"/>
    <w:rsid w:val="004D0FA6"/>
    <w:rsid w:val="004D53D7"/>
    <w:rsid w:val="004F3041"/>
    <w:rsid w:val="004F4BC9"/>
    <w:rsid w:val="004F5D4C"/>
    <w:rsid w:val="00542605"/>
    <w:rsid w:val="005B2300"/>
    <w:rsid w:val="005C4453"/>
    <w:rsid w:val="005E2E7B"/>
    <w:rsid w:val="005F1BED"/>
    <w:rsid w:val="00623175"/>
    <w:rsid w:val="00644E2D"/>
    <w:rsid w:val="006570A9"/>
    <w:rsid w:val="0067636A"/>
    <w:rsid w:val="006C4E10"/>
    <w:rsid w:val="006E1155"/>
    <w:rsid w:val="006F7697"/>
    <w:rsid w:val="00705C89"/>
    <w:rsid w:val="00722962"/>
    <w:rsid w:val="00740365"/>
    <w:rsid w:val="00740BBC"/>
    <w:rsid w:val="007839FA"/>
    <w:rsid w:val="00783FD1"/>
    <w:rsid w:val="007B5416"/>
    <w:rsid w:val="007C1786"/>
    <w:rsid w:val="007D2E35"/>
    <w:rsid w:val="008069C7"/>
    <w:rsid w:val="008C6B4F"/>
    <w:rsid w:val="00940F62"/>
    <w:rsid w:val="009C24F0"/>
    <w:rsid w:val="009E39A7"/>
    <w:rsid w:val="009E526A"/>
    <w:rsid w:val="00A35F58"/>
    <w:rsid w:val="00A50A8C"/>
    <w:rsid w:val="00A654FC"/>
    <w:rsid w:val="00A77230"/>
    <w:rsid w:val="00AC380E"/>
    <w:rsid w:val="00AC4759"/>
    <w:rsid w:val="00AD4DD1"/>
    <w:rsid w:val="00AE1026"/>
    <w:rsid w:val="00B11311"/>
    <w:rsid w:val="00B30163"/>
    <w:rsid w:val="00B30615"/>
    <w:rsid w:val="00B5288F"/>
    <w:rsid w:val="00B54383"/>
    <w:rsid w:val="00B74F52"/>
    <w:rsid w:val="00B8364B"/>
    <w:rsid w:val="00B85E7A"/>
    <w:rsid w:val="00BA3AEB"/>
    <w:rsid w:val="00BB0AE3"/>
    <w:rsid w:val="00BC1197"/>
    <w:rsid w:val="00BC45E6"/>
    <w:rsid w:val="00BD3A4D"/>
    <w:rsid w:val="00BE7F19"/>
    <w:rsid w:val="00BF5EC4"/>
    <w:rsid w:val="00C11059"/>
    <w:rsid w:val="00C36931"/>
    <w:rsid w:val="00C62725"/>
    <w:rsid w:val="00C751C5"/>
    <w:rsid w:val="00CA6F78"/>
    <w:rsid w:val="00CF0575"/>
    <w:rsid w:val="00D37559"/>
    <w:rsid w:val="00D457F0"/>
    <w:rsid w:val="00D4707E"/>
    <w:rsid w:val="00D55C74"/>
    <w:rsid w:val="00D732C5"/>
    <w:rsid w:val="00D9789A"/>
    <w:rsid w:val="00DA4E55"/>
    <w:rsid w:val="00DA6EEB"/>
    <w:rsid w:val="00DC124F"/>
    <w:rsid w:val="00DC582F"/>
    <w:rsid w:val="00DD1811"/>
    <w:rsid w:val="00DD3F9F"/>
    <w:rsid w:val="00E22914"/>
    <w:rsid w:val="00E26648"/>
    <w:rsid w:val="00E34361"/>
    <w:rsid w:val="00E54FAD"/>
    <w:rsid w:val="00EE072C"/>
    <w:rsid w:val="00F055AC"/>
    <w:rsid w:val="00F106B3"/>
    <w:rsid w:val="00F25004"/>
    <w:rsid w:val="00F53F5B"/>
    <w:rsid w:val="00F561E8"/>
    <w:rsid w:val="00F63E5E"/>
    <w:rsid w:val="00F743CE"/>
    <w:rsid w:val="00F75FA9"/>
    <w:rsid w:val="00FA2A11"/>
    <w:rsid w:val="00FA6450"/>
    <w:rsid w:val="00FA6C18"/>
    <w:rsid w:val="00FA7C64"/>
    <w:rsid w:val="00FD2C93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1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5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Título Anexo"/>
    <w:basedOn w:val="Normal"/>
    <w:next w:val="Texto"/>
    <w:link w:val="Ttulo4Char"/>
    <w:autoRedefine/>
    <w:qFormat/>
    <w:rsid w:val="00AC4759"/>
    <w:pPr>
      <w:tabs>
        <w:tab w:val="num" w:pos="1134"/>
      </w:tabs>
      <w:spacing w:after="0" w:line="240" w:lineRule="auto"/>
      <w:ind w:left="1146" w:right="284" w:hanging="862"/>
      <w:jc w:val="both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aliases w:val="Título dos campos"/>
    <w:basedOn w:val="Normal"/>
    <w:next w:val="Normal"/>
    <w:link w:val="Ttulo5Char"/>
    <w:autoRedefine/>
    <w:qFormat/>
    <w:rsid w:val="00AC4759"/>
    <w:pPr>
      <w:keepNext/>
      <w:widowControl w:val="0"/>
      <w:tabs>
        <w:tab w:val="num" w:pos="1008"/>
      </w:tabs>
      <w:spacing w:after="0" w:line="360" w:lineRule="auto"/>
      <w:ind w:left="1008" w:hanging="1008"/>
      <w:jc w:val="both"/>
      <w:outlineLvl w:val="4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47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47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47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C47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405"/>
  </w:style>
  <w:style w:type="paragraph" w:styleId="Rodap">
    <w:name w:val="footer"/>
    <w:basedOn w:val="Normal"/>
    <w:link w:val="Rodap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405"/>
  </w:style>
  <w:style w:type="paragraph" w:styleId="Ttulo">
    <w:name w:val="Title"/>
    <w:basedOn w:val="Normal"/>
    <w:link w:val="TtuloChar"/>
    <w:qFormat/>
    <w:rsid w:val="00187405"/>
    <w:pPr>
      <w:spacing w:after="0" w:line="240" w:lineRule="auto"/>
      <w:jc w:val="center"/>
    </w:pPr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87405"/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paragraph" w:customStyle="1" w:styleId="Ttulo4Metr">
    <w:name w:val="Título 4 Metrô"/>
    <w:basedOn w:val="Ttulo3Metr"/>
    <w:qFormat/>
    <w:rsid w:val="004F4BC9"/>
    <w:pPr>
      <w:numPr>
        <w:ilvl w:val="3"/>
      </w:numPr>
      <w:ind w:left="648" w:hanging="720"/>
    </w:pPr>
  </w:style>
  <w:style w:type="paragraph" w:customStyle="1" w:styleId="Ttulo1Metr">
    <w:name w:val="Título 1 Metrô"/>
    <w:basedOn w:val="PargrafodaLista"/>
    <w:link w:val="Ttulo1MetrChar"/>
    <w:autoRedefine/>
    <w:qFormat/>
    <w:rsid w:val="004F4BC9"/>
    <w:pPr>
      <w:numPr>
        <w:numId w:val="2"/>
      </w:numPr>
      <w:spacing w:after="0" w:line="360" w:lineRule="auto"/>
      <w:ind w:left="952"/>
      <w:contextualSpacing w:val="0"/>
      <w:jc w:val="both"/>
    </w:pPr>
    <w:rPr>
      <w:rFonts w:ascii="Arial" w:hAnsi="Arial"/>
      <w:b/>
      <w:szCs w:val="28"/>
    </w:rPr>
  </w:style>
  <w:style w:type="paragraph" w:customStyle="1" w:styleId="Ttulo5Metr">
    <w:name w:val="Título 5 Metrô"/>
    <w:basedOn w:val="Ttulo3Metr"/>
    <w:qFormat/>
    <w:rsid w:val="004F4BC9"/>
    <w:pPr>
      <w:numPr>
        <w:ilvl w:val="4"/>
      </w:numPr>
      <w:ind w:left="792" w:hanging="1080"/>
    </w:pPr>
  </w:style>
  <w:style w:type="paragraph" w:customStyle="1" w:styleId="Ttulo2Metr">
    <w:name w:val="Título 2 Metrô"/>
    <w:basedOn w:val="PargrafodaLista"/>
    <w:autoRedefine/>
    <w:qFormat/>
    <w:rsid w:val="004F4BC9"/>
    <w:pPr>
      <w:numPr>
        <w:ilvl w:val="1"/>
        <w:numId w:val="2"/>
      </w:numPr>
      <w:spacing w:before="2" w:line="240" w:lineRule="auto"/>
      <w:ind w:left="720" w:hanging="360"/>
      <w:contextualSpacing w:val="0"/>
      <w:jc w:val="both"/>
    </w:pPr>
    <w:rPr>
      <w:rFonts w:ascii="Arial" w:hAnsi="Arial"/>
      <w:b/>
      <w:sz w:val="24"/>
    </w:rPr>
  </w:style>
  <w:style w:type="character" w:customStyle="1" w:styleId="Ttulo1MetrChar">
    <w:name w:val="Título 1 Metrô Char"/>
    <w:basedOn w:val="Fontepargpadro"/>
    <w:link w:val="Ttulo1Metr"/>
    <w:rsid w:val="004F4BC9"/>
    <w:rPr>
      <w:rFonts w:ascii="Arial" w:hAnsi="Arial"/>
      <w:b/>
      <w:szCs w:val="28"/>
    </w:rPr>
  </w:style>
  <w:style w:type="paragraph" w:customStyle="1" w:styleId="Ttulo3Metr">
    <w:name w:val="Título 3 Metrô"/>
    <w:basedOn w:val="PargrafodaLista"/>
    <w:qFormat/>
    <w:rsid w:val="004F4BC9"/>
    <w:pPr>
      <w:numPr>
        <w:ilvl w:val="2"/>
        <w:numId w:val="2"/>
      </w:numPr>
      <w:spacing w:after="160" w:line="240" w:lineRule="auto"/>
      <w:ind w:left="1080" w:hanging="720"/>
      <w:contextualSpacing w:val="0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F4B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DC5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aliases w:val="Título Anexo Char"/>
    <w:basedOn w:val="Fontepargpadro"/>
    <w:link w:val="Ttulo4"/>
    <w:rsid w:val="00AC47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aliases w:val="Título dos campos Char"/>
    <w:basedOn w:val="Fontepargpadro"/>
    <w:link w:val="Ttulo5"/>
    <w:rsid w:val="00AC4759"/>
    <w:rPr>
      <w:rFonts w:ascii="Arial" w:eastAsia="Times New Roman" w:hAnsi="Arial" w:cs="Arial"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C475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C475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C4759"/>
    <w:rPr>
      <w:rFonts w:ascii="Arial" w:eastAsia="Times New Roman" w:hAnsi="Arial" w:cs="Arial"/>
      <w:lang w:eastAsia="pt-BR"/>
    </w:rPr>
  </w:style>
  <w:style w:type="paragraph" w:customStyle="1" w:styleId="Texto">
    <w:name w:val="Texto"/>
    <w:link w:val="TextoChar1"/>
    <w:rsid w:val="00AC4759"/>
    <w:pPr>
      <w:spacing w:after="120" w:line="240" w:lineRule="auto"/>
      <w:ind w:left="709" w:right="142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character" w:customStyle="1" w:styleId="TextoChar1">
    <w:name w:val="Texto Char1"/>
    <w:basedOn w:val="Fontepargpadro"/>
    <w:link w:val="Texto"/>
    <w:rsid w:val="00AC4759"/>
    <w:rPr>
      <w:rFonts w:ascii="Arial" w:eastAsia="Times New Roman" w:hAnsi="Arial" w:cs="Times New Roman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70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705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5D92-EE94-4D23-9B77-14D19BB4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2020-05-20T12:05:00Z</cp:lastPrinted>
  <dcterms:created xsi:type="dcterms:W3CDTF">2020-05-20T11:35:00Z</dcterms:created>
  <dcterms:modified xsi:type="dcterms:W3CDTF">2020-05-20T12:09:00Z</dcterms:modified>
</cp:coreProperties>
</file>