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 w:rsidR="00D356D4">
        <w:rPr>
          <w:rFonts w:ascii="Book Antiqua" w:hAnsi="Book Antiqua" w:cs="Consolas"/>
          <w:b/>
          <w:sz w:val="48"/>
          <w:szCs w:val="48"/>
        </w:rPr>
        <w:t>6</w:t>
      </w:r>
      <w:r w:rsidR="004D21C0">
        <w:rPr>
          <w:rFonts w:ascii="Book Antiqua" w:hAnsi="Book Antiqua" w:cs="Consolas"/>
          <w:b/>
          <w:sz w:val="48"/>
          <w:szCs w:val="48"/>
        </w:rPr>
        <w:t>1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4D21C0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4D21C0" w:rsidRPr="00091C84">
        <w:rPr>
          <w:rFonts w:ascii="Book Antiqua" w:hAnsi="Book Antiqua"/>
          <w:b/>
          <w:sz w:val="28"/>
          <w:szCs w:val="28"/>
        </w:rPr>
        <w:t>QUADRI TELECOM LTDA.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ED53D8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4D21C0" w:rsidRPr="00091C84">
        <w:rPr>
          <w:rFonts w:ascii="Book Antiqua" w:hAnsi="Book Antiqua"/>
          <w:b/>
          <w:sz w:val="28"/>
          <w:szCs w:val="28"/>
        </w:rPr>
        <w:t>QUADRI TELECOM LTDA.</w:t>
      </w:r>
      <w:r w:rsidR="004D21C0" w:rsidRPr="00091C84">
        <w:rPr>
          <w:rFonts w:ascii="Book Antiqua" w:hAnsi="Book Antiqua"/>
          <w:sz w:val="28"/>
          <w:szCs w:val="28"/>
        </w:rPr>
        <w:t>,</w:t>
      </w:r>
      <w:r w:rsidR="004D21C0" w:rsidRPr="00091C84">
        <w:rPr>
          <w:rFonts w:ascii="Book Antiqua" w:hAnsi="Book Antiqua"/>
          <w:b/>
          <w:sz w:val="28"/>
          <w:szCs w:val="28"/>
        </w:rPr>
        <w:t xml:space="preserve"> </w:t>
      </w:r>
      <w:r w:rsidR="004D21C0" w:rsidRPr="00091C84">
        <w:rPr>
          <w:rFonts w:ascii="Book Antiqua" w:hAnsi="Book Antiqua" w:cs="Consolas"/>
          <w:sz w:val="28"/>
          <w:szCs w:val="28"/>
        </w:rPr>
        <w:t>CNPJ sob nº</w:t>
      </w:r>
      <w:r w:rsidR="004D21C0" w:rsidRPr="00091C84">
        <w:rPr>
          <w:rFonts w:ascii="Book Antiqua" w:hAnsi="Book Antiqua"/>
          <w:sz w:val="28"/>
          <w:szCs w:val="28"/>
        </w:rPr>
        <w:t xml:space="preserve"> 19.945.050/0001-70, </w:t>
      </w:r>
      <w:r w:rsidR="004D21C0" w:rsidRPr="00091C84">
        <w:rPr>
          <w:rFonts w:ascii="Book Antiqua" w:hAnsi="Book Antiqua" w:cs="Arial"/>
          <w:sz w:val="28"/>
          <w:szCs w:val="28"/>
        </w:rPr>
        <w:t>com sede na</w:t>
      </w:r>
      <w:r w:rsidR="004D21C0" w:rsidRPr="00091C84">
        <w:rPr>
          <w:rFonts w:ascii="Book Antiqua" w:hAnsi="Book Antiqua"/>
          <w:sz w:val="28"/>
          <w:szCs w:val="28"/>
        </w:rPr>
        <w:t xml:space="preserve"> Rua Doutor Lincoln Graça nº 619 – Bairro Centro – CEP 86.455-</w:t>
      </w:r>
      <w:r w:rsidR="004D21C0" w:rsidRPr="00C3598E">
        <w:rPr>
          <w:rFonts w:ascii="Book Antiqua" w:hAnsi="Book Antiqua"/>
          <w:sz w:val="28"/>
          <w:szCs w:val="28"/>
        </w:rPr>
        <w:t>000 – Joaquim Távora – PR</w:t>
      </w:r>
      <w:r w:rsidR="00C3598E" w:rsidRPr="00C3598E">
        <w:rPr>
          <w:rFonts w:ascii="Book Antiqua" w:hAnsi="Book Antiqua"/>
          <w:sz w:val="28"/>
          <w:szCs w:val="28"/>
        </w:rPr>
        <w:t xml:space="preserve"> – Fone (0XX43) 3559-</w:t>
      </w:r>
      <w:r w:rsidR="00BB3427">
        <w:rPr>
          <w:rFonts w:ascii="Book Antiqua" w:hAnsi="Book Antiqua"/>
          <w:sz w:val="28"/>
          <w:szCs w:val="28"/>
        </w:rPr>
        <w:t>1040 – E-mail: quadritelecom@hotmail.com</w:t>
      </w:r>
      <w:r w:rsidR="00C3598E" w:rsidRPr="00C3598E">
        <w:rPr>
          <w:rFonts w:ascii="Book Antiqua" w:hAnsi="Book Antiqua"/>
          <w:sz w:val="28"/>
          <w:szCs w:val="28"/>
        </w:rPr>
        <w:t xml:space="preserve">, representada pelo </w:t>
      </w:r>
      <w:r w:rsidR="00C3598E" w:rsidRPr="00C3598E">
        <w:rPr>
          <w:rFonts w:ascii="Book Antiqua" w:hAnsi="Book Antiqua"/>
          <w:b/>
          <w:sz w:val="28"/>
          <w:szCs w:val="28"/>
        </w:rPr>
        <w:t>SENHOR RODRIGO ACOSTA QUADRI</w:t>
      </w:r>
      <w:r w:rsidR="00C3598E" w:rsidRPr="00C3598E">
        <w:rPr>
          <w:rFonts w:ascii="Book Antiqua" w:hAnsi="Book Antiqua"/>
          <w:sz w:val="28"/>
          <w:szCs w:val="28"/>
        </w:rPr>
        <w:t xml:space="preserve">, brasileiro, casado, empresário, portador da cédula de </w:t>
      </w:r>
      <w:r w:rsidR="00C3598E" w:rsidRPr="00C3598E">
        <w:rPr>
          <w:rFonts w:ascii="Book Antiqua" w:hAnsi="Book Antiqua"/>
          <w:sz w:val="28"/>
          <w:szCs w:val="28"/>
        </w:rPr>
        <w:lastRenderedPageBreak/>
        <w:t>identidade RG nº 7.952.194-9, emitido pela Secretaria da Segurança Pública do Estado do Paraná e, devidamente Inscrito no Cadastro das Pessoas Físicas do Ministério da Fazenda sob o nº 037.684.249-01</w:t>
      </w:r>
      <w:r w:rsidRPr="00C3598E">
        <w:rPr>
          <w:rFonts w:ascii="Book Antiqua" w:hAnsi="Book Antiqua"/>
          <w:sz w:val="28"/>
          <w:szCs w:val="28"/>
        </w:rPr>
        <w:t xml:space="preserve">, na qualidade de vencedora do </w:t>
      </w:r>
      <w:r w:rsidRPr="00C3598E">
        <w:rPr>
          <w:rFonts w:ascii="Book Antiqua" w:hAnsi="Book Antiqua" w:cs="Consolas"/>
          <w:sz w:val="28"/>
          <w:szCs w:val="28"/>
        </w:rPr>
        <w:t>Pregão Presencial nº</w:t>
      </w:r>
      <w:r w:rsidRPr="00FD3117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BB3427">
        <w:rPr>
          <w:rFonts w:ascii="Book Antiqua" w:hAnsi="Book Antiqua" w:cs="Consolas"/>
          <w:sz w:val="28"/>
          <w:szCs w:val="28"/>
        </w:rPr>
        <w:t xml:space="preserve">10 de outubro </w:t>
      </w:r>
      <w:r w:rsidRPr="00741969">
        <w:rPr>
          <w:rFonts w:ascii="Book Antiqua" w:hAnsi="Book Antiqua" w:cs="Consolas"/>
          <w:sz w:val="28"/>
          <w:szCs w:val="28"/>
        </w:rPr>
        <w:t xml:space="preserve">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661381" w:rsidRDefault="00661381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4D21C0" w:rsidRPr="004D21C0">
        <w:rPr>
          <w:rFonts w:ascii="Book Antiqua" w:hAnsi="Book Antiqua" w:cs="Consolas"/>
          <w:b/>
          <w:sz w:val="28"/>
          <w:szCs w:val="28"/>
        </w:rPr>
        <w:t xml:space="preserve">R$ </w:t>
      </w:r>
      <w:r w:rsidR="004D21C0" w:rsidRPr="004D21C0">
        <w:rPr>
          <w:rFonts w:ascii="Book Antiqua" w:hAnsi="Book Antiqua"/>
          <w:b/>
          <w:sz w:val="28"/>
          <w:szCs w:val="28"/>
        </w:rPr>
        <w:t>3.192,32 (TRÊS MIL E CENTO E NOVENTA E DOIS REAIS E TRINTA E DOIS CENTAVOS</w:t>
      </w:r>
      <w:r w:rsidR="004D21C0" w:rsidRPr="004D21C0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A04DFE" w:rsidRDefault="004D21C0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Pr="00091C84">
        <w:rPr>
          <w:rFonts w:ascii="Book Antiqua" w:hAnsi="Book Antiqua"/>
          <w:b/>
          <w:sz w:val="28"/>
          <w:szCs w:val="28"/>
        </w:rPr>
        <w:t>QUADRI TELECOM LTDA.</w:t>
      </w:r>
    </w:p>
    <w:p w:rsidR="00863458" w:rsidRPr="00A33AE8" w:rsidRDefault="00C3598E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C3598E">
        <w:rPr>
          <w:rFonts w:ascii="Book Antiqua" w:hAnsi="Book Antiqua"/>
          <w:b/>
          <w:sz w:val="28"/>
          <w:szCs w:val="28"/>
        </w:rPr>
        <w:t>RODRIGO ACOSTA QUADRI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4D21C0" w:rsidRDefault="004D21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4D21C0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4D21C0" w:rsidRPr="00091C84">
        <w:rPr>
          <w:rFonts w:ascii="Book Antiqua" w:hAnsi="Book Antiqua"/>
          <w:b/>
          <w:sz w:val="28"/>
          <w:szCs w:val="28"/>
        </w:rPr>
        <w:t>QUADRI TELECOM LTDA.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4D21C0">
        <w:rPr>
          <w:rFonts w:ascii="Book Antiqua" w:hAnsi="Book Antiqua" w:cs="Consolas"/>
          <w:sz w:val="28"/>
          <w:szCs w:val="28"/>
        </w:rPr>
        <w:t>1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 w:rsidR="00F02CFA" w:rsidRPr="00F02CFA">
        <w:rPr>
          <w:rFonts w:ascii="Book Antiqua" w:hAnsi="Book Antiqua"/>
          <w:sz w:val="28"/>
          <w:szCs w:val="28"/>
        </w:rPr>
        <w:t xml:space="preserve">Rodrigo Acosta </w:t>
      </w:r>
      <w:proofErr w:type="spellStart"/>
      <w:r w:rsidR="00F02CFA" w:rsidRPr="00F02CFA">
        <w:rPr>
          <w:rFonts w:ascii="Book Antiqua" w:hAnsi="Book Antiqua"/>
          <w:sz w:val="28"/>
          <w:szCs w:val="28"/>
        </w:rPr>
        <w:t>Quadri</w:t>
      </w:r>
      <w:proofErr w:type="spellEnd"/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Empresário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F02CFA" w:rsidRPr="00C3598E">
        <w:rPr>
          <w:rFonts w:ascii="Book Antiqua" w:hAnsi="Book Antiqua"/>
          <w:sz w:val="28"/>
          <w:szCs w:val="28"/>
        </w:rPr>
        <w:t>037.684.249-01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 xml:space="preserve">RG: </w:t>
      </w:r>
      <w:r w:rsidR="00F02CFA" w:rsidRPr="00C3598E">
        <w:rPr>
          <w:rFonts w:ascii="Book Antiqua" w:hAnsi="Book Antiqua"/>
          <w:sz w:val="28"/>
          <w:szCs w:val="28"/>
        </w:rPr>
        <w:t>7.952.194-9</w:t>
      </w:r>
      <w:r>
        <w:rPr>
          <w:rFonts w:ascii="Book Antiqua" w:hAnsi="Book Antiqua" w:cs="Consolas"/>
          <w:sz w:val="28"/>
          <w:szCs w:val="28"/>
        </w:rPr>
        <w:t xml:space="preserve"> SSP/SP</w:t>
      </w:r>
    </w:p>
    <w:p w:rsidR="00863458" w:rsidRPr="00F02CF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F02CFA">
        <w:rPr>
          <w:rFonts w:ascii="Book Antiqua" w:hAnsi="Book Antiqua" w:cs="Consolas"/>
          <w:sz w:val="28"/>
          <w:szCs w:val="28"/>
        </w:rPr>
        <w:t xml:space="preserve">Data de Nascimento: </w:t>
      </w:r>
      <w:r w:rsidR="00F02CFA">
        <w:rPr>
          <w:rFonts w:ascii="Book Antiqua" w:hAnsi="Book Antiqua" w:cs="Consolas"/>
          <w:sz w:val="28"/>
          <w:szCs w:val="28"/>
        </w:rPr>
        <w:t>09/07/1982</w:t>
      </w:r>
      <w:bookmarkStart w:id="1" w:name="_GoBack"/>
      <w:bookmarkEnd w:id="1"/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F02CFA">
        <w:rPr>
          <w:rFonts w:ascii="Book Antiqua" w:hAnsi="Book Antiqua" w:cs="Consolas"/>
          <w:sz w:val="28"/>
          <w:szCs w:val="28"/>
        </w:rPr>
        <w:t>Avenida Paraná nº 762 – Bairro Centro – CEP 86.455-000 – Joaquim Távora – PR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 w:rsidR="00F02CFA">
        <w:rPr>
          <w:rFonts w:ascii="Book Antiqua" w:hAnsi="Book Antiqua"/>
          <w:sz w:val="28"/>
          <w:szCs w:val="28"/>
        </w:rPr>
        <w:t>quadritelecom@hotmail.com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 w:rsidR="00F02CFA">
        <w:rPr>
          <w:rFonts w:ascii="Book Antiqua" w:hAnsi="Book Antiqua"/>
          <w:sz w:val="28"/>
          <w:szCs w:val="28"/>
        </w:rPr>
        <w:t>quadritelecom@hotmail.com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 w:rsidR="00F02CFA" w:rsidRPr="00C3598E">
        <w:rPr>
          <w:rFonts w:ascii="Book Antiqua" w:hAnsi="Book Antiqua"/>
          <w:sz w:val="28"/>
          <w:szCs w:val="28"/>
        </w:rPr>
        <w:t>(0XX43) 3559-</w:t>
      </w:r>
      <w:r w:rsidR="00F02CFA">
        <w:rPr>
          <w:rFonts w:ascii="Book Antiqua" w:hAnsi="Book Antiqua"/>
          <w:sz w:val="28"/>
          <w:szCs w:val="28"/>
        </w:rPr>
        <w:t>1040</w:t>
      </w:r>
    </w:p>
    <w:p w:rsidR="00F02CFA" w:rsidRPr="00B1584A" w:rsidRDefault="00F02CFA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4D21C0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4D21C0" w:rsidRPr="00091C84">
        <w:rPr>
          <w:rFonts w:ascii="Book Antiqua" w:hAnsi="Book Antiqua"/>
          <w:b/>
          <w:sz w:val="28"/>
          <w:szCs w:val="28"/>
        </w:rPr>
        <w:t>QUADRI TELECOM LTDA.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4D21C0">
        <w:rPr>
          <w:rFonts w:ascii="Book Antiqua" w:hAnsi="Book Antiqua" w:cs="Consolas"/>
          <w:sz w:val="28"/>
          <w:szCs w:val="28"/>
        </w:rPr>
        <w:t>1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11636B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11636B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4D21C0" w:rsidRDefault="004D21C0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6B" w:rsidRDefault="0011636B">
      <w:r>
        <w:separator/>
      </w:r>
    </w:p>
  </w:endnote>
  <w:endnote w:type="continuationSeparator" w:id="0">
    <w:p w:rsidR="0011636B" w:rsidRDefault="0011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6B" w:rsidRDefault="0011636B">
      <w:r>
        <w:separator/>
      </w:r>
    </w:p>
  </w:footnote>
  <w:footnote w:type="continuationSeparator" w:id="0">
    <w:p w:rsidR="0011636B" w:rsidRDefault="0011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11636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11636B"/>
    <w:rsid w:val="00355FB3"/>
    <w:rsid w:val="003D6EA5"/>
    <w:rsid w:val="004D21C0"/>
    <w:rsid w:val="005A6657"/>
    <w:rsid w:val="005D220E"/>
    <w:rsid w:val="006026C0"/>
    <w:rsid w:val="00661381"/>
    <w:rsid w:val="006C6BE1"/>
    <w:rsid w:val="00717A61"/>
    <w:rsid w:val="00863458"/>
    <w:rsid w:val="00865082"/>
    <w:rsid w:val="00A04DFE"/>
    <w:rsid w:val="00B70908"/>
    <w:rsid w:val="00BB3427"/>
    <w:rsid w:val="00C3598E"/>
    <w:rsid w:val="00C437B8"/>
    <w:rsid w:val="00D356D4"/>
    <w:rsid w:val="00D7016C"/>
    <w:rsid w:val="00D92661"/>
    <w:rsid w:val="00ED53D8"/>
    <w:rsid w:val="00F02CFA"/>
    <w:rsid w:val="00F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EE79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B4E3-DDCF-4612-BEAC-589BED6B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2591</Words>
  <Characters>15393</Characters>
  <Application>Microsoft Office Word</Application>
  <DocSecurity>0</DocSecurity>
  <Lines>513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2019-11-05T22:16:00Z</dcterms:created>
  <dcterms:modified xsi:type="dcterms:W3CDTF">2019-11-06T15:08:00Z</dcterms:modified>
</cp:coreProperties>
</file>