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>
        <w:rPr>
          <w:rFonts w:ascii="Consolas" w:hAnsi="Consolas" w:cs="Consolas"/>
          <w:b/>
          <w:bCs/>
          <w:sz w:val="40"/>
          <w:szCs w:val="40"/>
        </w:rPr>
        <w:t>ATA DE REGISTRO DE PREÇOS Nº 03</w:t>
      </w:r>
      <w:r w:rsidR="003B3ADF">
        <w:rPr>
          <w:rFonts w:ascii="Consolas" w:hAnsi="Consolas" w:cs="Consolas"/>
          <w:b/>
          <w:bCs/>
          <w:sz w:val="40"/>
          <w:szCs w:val="40"/>
        </w:rPr>
        <w:t>7</w:t>
      </w:r>
      <w:r>
        <w:rPr>
          <w:rFonts w:ascii="Consolas" w:hAnsi="Consolas" w:cs="Consolas"/>
          <w:b/>
          <w:bCs/>
          <w:sz w:val="40"/>
          <w:szCs w:val="40"/>
        </w:rPr>
        <w:t>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>
        <w:rPr>
          <w:rFonts w:ascii="Consolas" w:hAnsi="Consolas" w:cs="Consolas"/>
          <w:b/>
          <w:bCs/>
          <w:sz w:val="28"/>
          <w:szCs w:val="28"/>
        </w:rPr>
        <w:t>086/2020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07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 xml:space="preserve">dezembro 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</w:t>
      </w:r>
      <w:r>
        <w:rPr>
          <w:rFonts w:ascii="Consolas" w:hAnsi="Consolas" w:cs="Consolas"/>
          <w:sz w:val="28"/>
          <w:szCs w:val="28"/>
        </w:rPr>
        <w:t>41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3B3ADF" w:rsidRDefault="003B3ADF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b/>
          <w:bCs/>
          <w:sz w:val="28"/>
          <w:szCs w:val="28"/>
        </w:rPr>
        <w:t>DETENTORA 2</w:t>
      </w:r>
    </w:p>
    <w:p w:rsidR="003B3ADF" w:rsidRPr="003B3ADF" w:rsidRDefault="003B3ADF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sz w:val="28"/>
          <w:szCs w:val="28"/>
        </w:rPr>
        <w:t xml:space="preserve">Denominação: </w:t>
      </w:r>
      <w:r w:rsidRPr="003B3ADF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DAKFILM COMERCIAL LTDA.</w:t>
      </w:r>
      <w:r w:rsidRPr="003B3ADF">
        <w:rPr>
          <w:rFonts w:ascii="Consolas" w:hAnsi="Consolas" w:cs="Consolas"/>
          <w:sz w:val="28"/>
          <w:szCs w:val="28"/>
        </w:rPr>
        <w:t xml:space="preserve"> </w:t>
      </w:r>
    </w:p>
    <w:p w:rsidR="003B3ADF" w:rsidRPr="003B3ADF" w:rsidRDefault="003B3ADF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sz w:val="28"/>
          <w:szCs w:val="28"/>
        </w:rPr>
        <w:t xml:space="preserve">Endereço: </w:t>
      </w:r>
      <w:r>
        <w:rPr>
          <w:rFonts w:ascii="Consolas" w:hAnsi="Consolas" w:cs="Arial"/>
          <w:sz w:val="28"/>
          <w:szCs w:val="28"/>
          <w:shd w:val="clear" w:color="auto" w:fill="FFFFFF"/>
        </w:rPr>
        <w:t>Rua Ouro Grosso</w:t>
      </w:r>
      <w:r>
        <w:rPr>
          <w:rFonts w:ascii="Consolas" w:hAnsi="Consolas" w:cs="Consolas"/>
          <w:sz w:val="28"/>
          <w:szCs w:val="28"/>
        </w:rPr>
        <w:t xml:space="preserve"> nº 1343 – Bairro </w:t>
      </w:r>
      <w:r>
        <w:rPr>
          <w:rFonts w:ascii="Consolas" w:hAnsi="Consolas" w:cs="Arial"/>
          <w:sz w:val="28"/>
          <w:szCs w:val="28"/>
          <w:shd w:val="clear" w:color="auto" w:fill="FFFFFF"/>
        </w:rPr>
        <w:t>Casa Verde</w:t>
      </w:r>
      <w:r>
        <w:rPr>
          <w:rFonts w:ascii="Consolas" w:hAnsi="Consolas" w:cs="Consolas"/>
          <w:sz w:val="28"/>
          <w:szCs w:val="28"/>
        </w:rPr>
        <w:t xml:space="preserve"> – CEP </w:t>
      </w:r>
      <w:r>
        <w:rPr>
          <w:rFonts w:ascii="Consolas" w:hAnsi="Consolas" w:cs="Arial"/>
          <w:sz w:val="28"/>
          <w:szCs w:val="28"/>
          <w:shd w:val="clear" w:color="auto" w:fill="FFFFFF"/>
        </w:rPr>
        <w:t>02.531-011</w:t>
      </w:r>
      <w:r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Arial"/>
          <w:sz w:val="28"/>
          <w:szCs w:val="28"/>
          <w:shd w:val="clear" w:color="auto" w:fill="FFFFFF"/>
        </w:rPr>
        <w:t>São Paulo</w:t>
      </w:r>
      <w:r>
        <w:rPr>
          <w:rFonts w:ascii="Consolas" w:hAnsi="Consolas" w:cs="Consolas"/>
          <w:sz w:val="28"/>
          <w:szCs w:val="28"/>
        </w:rPr>
        <w:t xml:space="preserve"> – SP</w:t>
      </w:r>
      <w:r w:rsidRPr="003B3ADF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Consolas"/>
          <w:sz w:val="28"/>
          <w:szCs w:val="28"/>
        </w:rPr>
        <w:t xml:space="preserve">Fone (0XX11) 3857-8766 – </w:t>
      </w:r>
      <w:r w:rsidRPr="003B3ADF">
        <w:rPr>
          <w:rFonts w:ascii="Consolas" w:hAnsi="Consolas" w:cs="Consolas"/>
          <w:sz w:val="28"/>
          <w:szCs w:val="28"/>
        </w:rPr>
        <w:t xml:space="preserve">E-mail: </w:t>
      </w:r>
      <w:r>
        <w:rPr>
          <w:rFonts w:ascii="Consolas" w:hAnsi="Consolas" w:cs="Consolas"/>
          <w:sz w:val="28"/>
          <w:szCs w:val="28"/>
        </w:rPr>
        <w:t>patrícia.monteiro</w:t>
      </w:r>
      <w:r w:rsidRPr="003B3ADF">
        <w:rPr>
          <w:rFonts w:ascii="Consolas" w:hAnsi="Consolas" w:cs="Consolas"/>
          <w:sz w:val="28"/>
          <w:szCs w:val="28"/>
        </w:rPr>
        <w:t>@dakfilm.com</w:t>
      </w:r>
      <w:r>
        <w:rPr>
          <w:rFonts w:ascii="Consolas" w:hAnsi="Consolas" w:cs="Consolas"/>
          <w:sz w:val="28"/>
          <w:szCs w:val="28"/>
        </w:rPr>
        <w:t>.</w:t>
      </w:r>
    </w:p>
    <w:p w:rsidR="003B3ADF" w:rsidRPr="003B3ADF" w:rsidRDefault="003B3ADF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sz w:val="28"/>
          <w:szCs w:val="28"/>
        </w:rPr>
        <w:t xml:space="preserve">CNPJ: </w:t>
      </w:r>
      <w:r>
        <w:rPr>
          <w:rFonts w:ascii="Consolas" w:hAnsi="Consolas" w:cs="Arial"/>
          <w:sz w:val="28"/>
          <w:szCs w:val="28"/>
          <w:shd w:val="clear" w:color="auto" w:fill="FFFFFF"/>
        </w:rPr>
        <w:t>61.613.881/0001-00</w:t>
      </w:r>
    </w:p>
    <w:p w:rsidR="003B3ADF" w:rsidRPr="003B3ADF" w:rsidRDefault="003B3ADF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sz w:val="28"/>
          <w:szCs w:val="28"/>
        </w:rPr>
        <w:t xml:space="preserve">Representante Legal: </w:t>
      </w:r>
      <w:r w:rsidRPr="003B3ADF">
        <w:rPr>
          <w:rFonts w:ascii="Consolas" w:hAnsi="Consolas" w:cs="Consolas"/>
          <w:b/>
          <w:sz w:val="28"/>
          <w:szCs w:val="28"/>
        </w:rPr>
        <w:t>SENHOR THIAGO JOSÉ SPONTÃO LIVRARI</w:t>
      </w:r>
    </w:p>
    <w:p w:rsidR="003B3ADF" w:rsidRPr="003B3ADF" w:rsidRDefault="003B3ADF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sz w:val="28"/>
          <w:szCs w:val="28"/>
        </w:rPr>
        <w:t>CPF: 325.405.138-67</w:t>
      </w:r>
    </w:p>
    <w:p w:rsidR="00072B66" w:rsidRPr="003B3ADF" w:rsidRDefault="00072B66" w:rsidP="003B3AD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color w:val="000000"/>
          <w:sz w:val="28"/>
          <w:szCs w:val="28"/>
        </w:rPr>
        <w:t xml:space="preserve">Valor Total </w:t>
      </w:r>
      <w:r w:rsidRPr="003B3ADF">
        <w:rPr>
          <w:rFonts w:ascii="Consolas" w:hAnsi="Consolas" w:cs="Consolas"/>
          <w:sz w:val="28"/>
          <w:szCs w:val="28"/>
        </w:rPr>
        <w:t xml:space="preserve">R$ </w:t>
      </w:r>
      <w:r w:rsidR="003B3ADF">
        <w:rPr>
          <w:rFonts w:ascii="Consolas" w:hAnsi="Consolas" w:cs="Consolas"/>
          <w:sz w:val="28"/>
          <w:szCs w:val="28"/>
        </w:rPr>
        <w:t>63.864,75 (sessenta e três mil e oitocentos e sessenta e quatro reais e setenta e cinco centavos</w:t>
      </w:r>
      <w:r w:rsidR="003B3ADF">
        <w:rPr>
          <w:rFonts w:ascii="Consolas" w:hAnsi="Consolas"/>
          <w:sz w:val="28"/>
          <w:szCs w:val="28"/>
        </w:rPr>
        <w:t>)</w:t>
      </w:r>
      <w:r w:rsidRPr="003B3ADF">
        <w:rPr>
          <w:rFonts w:ascii="Consolas" w:hAnsi="Consolas" w:cs="Consolas"/>
          <w:sz w:val="28"/>
          <w:szCs w:val="28"/>
        </w:rPr>
        <w:t xml:space="preserve">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6A52E0" w:rsidRDefault="00072B66" w:rsidP="00072B6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F32B50">
        <w:rPr>
          <w:rFonts w:ascii="Consolas" w:hAnsi="Consolas"/>
          <w:sz w:val="28"/>
          <w:szCs w:val="28"/>
        </w:rPr>
        <w:t xml:space="preserve">Registro de Preços para a Aquisição de Materiais de Insumos para Diabéticos para a Diretoria de Divisão de Saúde, localizada na Rua Riachuelo n° 910 – Bairro Centro – Pirajuí – SP, conforme especificações constantes do </w:t>
      </w:r>
      <w:r w:rsidRPr="00F32B50">
        <w:rPr>
          <w:rFonts w:ascii="Consolas" w:hAnsi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815603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72B66" w:rsidRPr="005F5FC1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A510AC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9D581A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MUNICÍPIO DE </w:t>
      </w:r>
      <w:r>
        <w:rPr>
          <w:rFonts w:ascii="Consolas" w:hAnsi="Consolas" w:cs="Consolas"/>
          <w:b/>
          <w:bCs/>
          <w:sz w:val="28"/>
          <w:szCs w:val="28"/>
        </w:rPr>
        <w:t>PIRAJUÍ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3B3ADF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Arial"/>
          <w:b/>
          <w:bCs/>
          <w:sz w:val="28"/>
          <w:szCs w:val="28"/>
          <w:shd w:val="clear" w:color="auto" w:fill="FFFFFF"/>
        </w:rPr>
      </w:pPr>
      <w:r w:rsidRPr="003B3ADF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DAKFILM COMERCIAL LTDA.</w:t>
      </w:r>
    </w:p>
    <w:p w:rsidR="00072B66" w:rsidRDefault="003B3ADF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sz w:val="28"/>
          <w:szCs w:val="28"/>
        </w:rPr>
      </w:pPr>
      <w:r w:rsidRPr="003B3ADF">
        <w:rPr>
          <w:rFonts w:ascii="Consolas" w:hAnsi="Consolas" w:cs="Consolas"/>
          <w:b/>
          <w:sz w:val="28"/>
          <w:szCs w:val="28"/>
        </w:rPr>
        <w:t>THIAGO JOSÉ SPONTÃO LIVRARI</w:t>
      </w:r>
      <w:r w:rsidR="00072B66">
        <w:rPr>
          <w:rFonts w:ascii="Consolas" w:hAnsi="Consolas" w:cs="Consolas"/>
          <w:sz w:val="28"/>
          <w:szCs w:val="28"/>
        </w:rPr>
        <w:t xml:space="preserve">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072B66" w:rsidTr="00072B66">
        <w:trPr>
          <w:jc w:val="center"/>
        </w:trPr>
        <w:tc>
          <w:tcPr>
            <w:tcW w:w="4740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072B66" w:rsidRDefault="00072B66" w:rsidP="00072B66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072B66" w:rsidRDefault="00072B66" w:rsidP="00072B66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rPr>
          <w:rFonts w:ascii="Consolas" w:hAnsi="Consolas" w:cs="Consolas"/>
          <w:sz w:val="28"/>
          <w:szCs w:val="28"/>
        </w:rPr>
      </w:pPr>
    </w:p>
    <w:p w:rsidR="00072B66" w:rsidRPr="00072B66" w:rsidRDefault="00072B66" w:rsidP="00072B66">
      <w:pPr>
        <w:tabs>
          <w:tab w:val="left" w:pos="6240"/>
          <w:tab w:val="left" w:pos="675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bookmarkStart w:id="0" w:name="_GoBack"/>
      <w:bookmarkEnd w:id="0"/>
      <w:r>
        <w:rPr>
          <w:rFonts w:ascii="Consolas" w:hAnsi="Consolas" w:cs="Consolas"/>
          <w:sz w:val="28"/>
          <w:szCs w:val="28"/>
        </w:rPr>
        <w:tab/>
      </w:r>
    </w:p>
    <w:sectPr w:rsidR="00072B66" w:rsidRPr="00072B66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FD" w:rsidRDefault="00A54EFD" w:rsidP="00072B66">
      <w:pPr>
        <w:spacing w:after="0" w:line="240" w:lineRule="auto"/>
      </w:pPr>
      <w:r>
        <w:separator/>
      </w:r>
    </w:p>
  </w:endnote>
  <w:endnote w:type="continuationSeparator" w:id="0">
    <w:p w:rsidR="00A54EFD" w:rsidRDefault="00A54EFD" w:rsidP="000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0" w:rsidRPr="001E1EE0" w:rsidRDefault="00072B66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C1277" w:rsidRPr="001E1EE0">
      <w:rPr>
        <w:rFonts w:ascii="Consolas" w:hAnsi="Consolas" w:cs="Consolas"/>
        <w:b/>
        <w:sz w:val="16"/>
        <w:szCs w:val="16"/>
      </w:rPr>
      <w:t xml:space="preserve"> nº </w:t>
    </w:r>
    <w:r w:rsidR="00AC1277">
      <w:rPr>
        <w:rFonts w:ascii="Consolas" w:hAnsi="Consolas" w:cs="Consolas"/>
        <w:b/>
        <w:sz w:val="16"/>
        <w:szCs w:val="16"/>
      </w:rPr>
      <w:t>0</w:t>
    </w:r>
    <w:r w:rsidR="00B6281D">
      <w:rPr>
        <w:rFonts w:ascii="Consolas" w:hAnsi="Consolas" w:cs="Consolas"/>
        <w:b/>
        <w:sz w:val="16"/>
        <w:szCs w:val="16"/>
      </w:rPr>
      <w:t>37</w:t>
    </w:r>
    <w:r w:rsidR="00AC1277">
      <w:rPr>
        <w:rFonts w:ascii="Consolas" w:hAnsi="Consolas" w:cs="Consolas"/>
        <w:b/>
        <w:sz w:val="16"/>
        <w:szCs w:val="16"/>
      </w:rPr>
      <w:t>/2020</w:t>
    </w:r>
    <w:r w:rsidR="00AC1277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C1277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B6281D">
          <w:rPr>
            <w:rFonts w:ascii="Consolas" w:hAnsi="Consolas" w:cs="Consolas"/>
            <w:b/>
            <w:noProof/>
            <w:sz w:val="16"/>
            <w:szCs w:val="16"/>
          </w:rPr>
          <w:t>5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C1277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F32B50" w:rsidRPr="00043C58" w:rsidRDefault="00B6281D" w:rsidP="00B6281D">
    <w:pPr>
      <w:pStyle w:val="Cabealho"/>
      <w:tabs>
        <w:tab w:val="clear" w:pos="8504"/>
        <w:tab w:val="left" w:pos="4956"/>
        <w:tab w:val="left" w:pos="566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FD" w:rsidRDefault="00A54EFD" w:rsidP="00072B66">
      <w:pPr>
        <w:spacing w:after="0" w:line="240" w:lineRule="auto"/>
      </w:pPr>
      <w:r>
        <w:separator/>
      </w:r>
    </w:p>
  </w:footnote>
  <w:footnote w:type="continuationSeparator" w:id="0">
    <w:p w:rsidR="00A54EFD" w:rsidRDefault="00A54EFD" w:rsidP="000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32B50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F32B50" w:rsidRPr="00072B66" w:rsidRDefault="00AC1277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72B6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63ABE39" wp14:editId="06A072D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F32B50" w:rsidRPr="00281A47" w:rsidRDefault="00AC1277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:rsidR="00F32B50" w:rsidRPr="00072B66" w:rsidRDefault="00AC1277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463602D" wp14:editId="036D7AAA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2C4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F32B50" w:rsidRPr="0040340E" w:rsidRDefault="00A54EFD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6"/>
    <w:rsid w:val="00072B66"/>
    <w:rsid w:val="003B3ADF"/>
    <w:rsid w:val="00761057"/>
    <w:rsid w:val="00874CB6"/>
    <w:rsid w:val="00A54EFD"/>
    <w:rsid w:val="00AC1277"/>
    <w:rsid w:val="00B6281D"/>
    <w:rsid w:val="00C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E65A-3774-41EA-A4B8-1858A70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6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72B66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72B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2B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72B6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72B6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2B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72B6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72B6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72B6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B66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2B66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72B66"/>
  </w:style>
  <w:style w:type="paragraph" w:styleId="Cabealho">
    <w:name w:val="header"/>
    <w:basedOn w:val="Normal"/>
    <w:link w:val="CabealhoChar"/>
    <w:uiPriority w:val="99"/>
    <w:rsid w:val="00072B6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2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72B6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72B6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72B6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B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6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72B66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72B66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72B66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72B66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2B66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72B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72B66"/>
  </w:style>
  <w:style w:type="paragraph" w:styleId="PargrafodaLista">
    <w:name w:val="List Paragraph"/>
    <w:basedOn w:val="Normal"/>
    <w:uiPriority w:val="34"/>
    <w:qFormat/>
    <w:rsid w:val="00072B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72B66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72B6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72B6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72B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B66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72B66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72B6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72B6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72B66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72B66"/>
  </w:style>
  <w:style w:type="paragraph" w:customStyle="1" w:styleId="Default">
    <w:name w:val="Default"/>
    <w:uiPriority w:val="99"/>
    <w:rsid w:val="0007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72B66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7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72B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72B66"/>
    <w:rPr>
      <w:vertAlign w:val="superscript"/>
    </w:rPr>
  </w:style>
  <w:style w:type="paragraph" w:styleId="Legenda">
    <w:name w:val="caption"/>
    <w:basedOn w:val="Normal"/>
    <w:next w:val="Normal"/>
    <w:qFormat/>
    <w:rsid w:val="00072B66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72B66"/>
    <w:rPr>
      <w:sz w:val="15"/>
      <w:szCs w:val="15"/>
    </w:rPr>
  </w:style>
  <w:style w:type="paragraph" w:customStyle="1" w:styleId="Corpo">
    <w:name w:val="Corpo"/>
    <w:rsid w:val="00072B6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72B66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72B66"/>
    <w:rPr>
      <w:rFonts w:ascii="Wingdings" w:hAnsi="Wingdings"/>
    </w:rPr>
  </w:style>
  <w:style w:type="paragraph" w:customStyle="1" w:styleId="Patricia">
    <w:name w:val="Patricia"/>
    <w:basedOn w:val="Normal"/>
    <w:rsid w:val="00072B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72B66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72B66"/>
    <w:rPr>
      <w:b/>
      <w:bCs/>
    </w:rPr>
  </w:style>
  <w:style w:type="paragraph" w:customStyle="1" w:styleId="Assunto">
    <w:name w:val="Assunto"/>
    <w:basedOn w:val="Normal"/>
    <w:uiPriority w:val="99"/>
    <w:rsid w:val="00072B66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72B66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72B66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72B66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72B66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7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72B66"/>
  </w:style>
  <w:style w:type="character" w:styleId="nfase">
    <w:name w:val="Emphasis"/>
    <w:uiPriority w:val="20"/>
    <w:qFormat/>
    <w:rsid w:val="00072B66"/>
    <w:rPr>
      <w:i/>
      <w:iCs/>
    </w:rPr>
  </w:style>
  <w:style w:type="character" w:customStyle="1" w:styleId="apple-style-span">
    <w:name w:val="apple-style-span"/>
    <w:basedOn w:val="Fontepargpadro"/>
    <w:rsid w:val="00072B66"/>
  </w:style>
  <w:style w:type="character" w:styleId="HiperlinkVisitado">
    <w:name w:val="FollowedHyperlink"/>
    <w:uiPriority w:val="99"/>
    <w:unhideWhenUsed/>
    <w:rsid w:val="00072B66"/>
    <w:rPr>
      <w:color w:val="800080"/>
      <w:u w:val="single"/>
    </w:rPr>
  </w:style>
  <w:style w:type="paragraph" w:customStyle="1" w:styleId="xl63">
    <w:name w:val="xl63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72B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72B6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72B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72B66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72B66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72B66"/>
  </w:style>
  <w:style w:type="table" w:customStyle="1" w:styleId="Tabelacomgrade2">
    <w:name w:val="Tabela com grade2"/>
    <w:basedOn w:val="Tabelanormal"/>
    <w:next w:val="Tabelacomgrade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7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72B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72B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72B66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B66"/>
  </w:style>
  <w:style w:type="character" w:customStyle="1" w:styleId="TextodenotaderodapChar1">
    <w:name w:val="Texto de nota de rodapé Char1"/>
    <w:basedOn w:val="Fontepargpadro"/>
    <w:uiPriority w:val="99"/>
    <w:semiHidden/>
    <w:rsid w:val="00072B6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72B6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72B66"/>
  </w:style>
  <w:style w:type="paragraph" w:customStyle="1" w:styleId="font5">
    <w:name w:val="font5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5853</Characters>
  <Application>Microsoft Office Word</Application>
  <DocSecurity>0</DocSecurity>
  <Lines>216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2020-12-18T19:25:00Z</dcterms:created>
  <dcterms:modified xsi:type="dcterms:W3CDTF">2020-12-18T19:31:00Z</dcterms:modified>
</cp:coreProperties>
</file>